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43" w:rsidRDefault="00D83443"/>
    <w:p w:rsidR="00D83443" w:rsidRDefault="00D83443"/>
    <w:p w:rsidR="00D83443" w:rsidRPr="00145247" w:rsidRDefault="00D83443">
      <w:pPr>
        <w:rPr>
          <w:sz w:val="40"/>
          <w:szCs w:val="40"/>
        </w:rPr>
      </w:pPr>
      <w:r>
        <w:rPr>
          <w:sz w:val="40"/>
          <w:szCs w:val="40"/>
        </w:rPr>
        <w:t>JUDGMENT</w:t>
      </w:r>
      <w:r w:rsidRPr="00145247">
        <w:rPr>
          <w:sz w:val="40"/>
          <w:szCs w:val="40"/>
        </w:rPr>
        <w:t xml:space="preserve"> OF THE INDEPENDENT MEDIA</w:t>
      </w:r>
      <w:r>
        <w:rPr>
          <w:sz w:val="40"/>
          <w:szCs w:val="40"/>
        </w:rPr>
        <w:t xml:space="preserve"> OFFICE OF THE</w:t>
      </w:r>
      <w:r w:rsidRPr="00145247">
        <w:rPr>
          <w:sz w:val="40"/>
          <w:szCs w:val="40"/>
        </w:rPr>
        <w:t xml:space="preserve"> OMBUD </w:t>
      </w:r>
    </w:p>
    <w:tbl>
      <w:tblPr>
        <w:tblpPr w:leftFromText="180" w:rightFromText="180" w:vertAnchor="page" w:horzAnchor="margin" w:tblpY="3985"/>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4273"/>
        <w:gridCol w:w="5117"/>
      </w:tblGrid>
      <w:tr w:rsidR="00D83443" w:rsidRPr="00BC00E7" w:rsidTr="00875666">
        <w:tc>
          <w:tcPr>
            <w:tcW w:w="9390" w:type="dxa"/>
            <w:gridSpan w:val="2"/>
            <w:shd w:val="clear" w:color="auto" w:fill="C31A25"/>
            <w:tcMar>
              <w:top w:w="100" w:type="dxa"/>
              <w:left w:w="100" w:type="dxa"/>
              <w:bottom w:w="100" w:type="dxa"/>
              <w:right w:w="100" w:type="dxa"/>
            </w:tcMar>
          </w:tcPr>
          <w:p w:rsidR="00D83443" w:rsidRPr="00BC00E7" w:rsidRDefault="00D83443" w:rsidP="00145247">
            <w:pPr>
              <w:widowControl w:val="0"/>
              <w:rPr>
                <w:rFonts w:cs="Calibri"/>
                <w:b/>
                <w:sz w:val="28"/>
                <w:szCs w:val="28"/>
                <w:lang w:val="en-ZA"/>
              </w:rPr>
            </w:pPr>
            <w:r w:rsidRPr="00BC00E7">
              <w:rPr>
                <w:rFonts w:cs="Calibri"/>
                <w:b/>
                <w:color w:val="FFFFFF"/>
                <w:sz w:val="28"/>
                <w:szCs w:val="28"/>
                <w:lang w:val="en-ZA"/>
              </w:rPr>
              <w:t>Complaint</w:t>
            </w:r>
          </w:p>
        </w:tc>
      </w:tr>
      <w:tr w:rsidR="00D83443" w:rsidRPr="00BC00E7" w:rsidTr="00145247">
        <w:tc>
          <w:tcPr>
            <w:tcW w:w="4273" w:type="dxa"/>
            <w:tcMar>
              <w:top w:w="100" w:type="dxa"/>
              <w:left w:w="100" w:type="dxa"/>
              <w:bottom w:w="100" w:type="dxa"/>
              <w:right w:w="100" w:type="dxa"/>
            </w:tcMar>
          </w:tcPr>
          <w:p w:rsidR="00D83443" w:rsidRPr="00BC00E7" w:rsidRDefault="00D83443" w:rsidP="00145247">
            <w:pPr>
              <w:widowControl w:val="0"/>
              <w:rPr>
                <w:rFonts w:cs="Calibri"/>
                <w:lang w:val="en-ZA"/>
              </w:rPr>
            </w:pPr>
            <w:r w:rsidRPr="00BC00E7">
              <w:rPr>
                <w:rFonts w:cs="Calibri"/>
                <w:lang w:val="en-ZA"/>
              </w:rPr>
              <w:t>Complaint number</w:t>
            </w:r>
          </w:p>
        </w:tc>
        <w:tc>
          <w:tcPr>
            <w:tcW w:w="5117" w:type="dxa"/>
            <w:tcMar>
              <w:top w:w="100" w:type="dxa"/>
              <w:left w:w="100" w:type="dxa"/>
              <w:bottom w:w="100" w:type="dxa"/>
              <w:right w:w="100" w:type="dxa"/>
            </w:tcMar>
          </w:tcPr>
          <w:p w:rsidR="00D83443" w:rsidRPr="00BC00E7" w:rsidRDefault="00D83443" w:rsidP="00145247">
            <w:pPr>
              <w:widowControl w:val="0"/>
              <w:rPr>
                <w:rFonts w:cs="Calibri"/>
                <w:lang w:val="en-ZA"/>
              </w:rPr>
            </w:pPr>
            <w:r w:rsidRPr="00BC00E7">
              <w:rPr>
                <w:rFonts w:cs="Calibri"/>
                <w:lang w:val="en-ZA"/>
              </w:rPr>
              <w:t>3</w:t>
            </w:r>
          </w:p>
        </w:tc>
      </w:tr>
      <w:tr w:rsidR="00D83443" w:rsidRPr="00BC00E7" w:rsidTr="00145247">
        <w:tc>
          <w:tcPr>
            <w:tcW w:w="4273" w:type="dxa"/>
            <w:tcMar>
              <w:top w:w="100" w:type="dxa"/>
              <w:left w:w="100" w:type="dxa"/>
              <w:bottom w:w="100" w:type="dxa"/>
              <w:right w:w="100" w:type="dxa"/>
            </w:tcMar>
          </w:tcPr>
          <w:p w:rsidR="00D83443" w:rsidRPr="00BC00E7" w:rsidRDefault="00D83443" w:rsidP="00145247">
            <w:pPr>
              <w:widowControl w:val="0"/>
              <w:rPr>
                <w:rFonts w:cs="Calibri"/>
                <w:lang w:val="en-ZA"/>
              </w:rPr>
            </w:pPr>
            <w:r w:rsidRPr="00BC00E7">
              <w:rPr>
                <w:rFonts w:cs="Calibri"/>
                <w:lang w:val="en-ZA"/>
              </w:rPr>
              <w:t>Independent Media Publication</w:t>
            </w:r>
          </w:p>
        </w:tc>
        <w:tc>
          <w:tcPr>
            <w:tcW w:w="5117" w:type="dxa"/>
            <w:tcMar>
              <w:top w:w="100" w:type="dxa"/>
              <w:left w:w="100" w:type="dxa"/>
              <w:bottom w:w="100" w:type="dxa"/>
              <w:right w:w="100" w:type="dxa"/>
            </w:tcMar>
          </w:tcPr>
          <w:p w:rsidR="00D83443" w:rsidRPr="00BC00E7" w:rsidRDefault="00D83443" w:rsidP="00145247">
            <w:pPr>
              <w:widowControl w:val="0"/>
              <w:rPr>
                <w:rFonts w:cs="Calibri"/>
                <w:lang w:val="en-ZA"/>
              </w:rPr>
            </w:pPr>
            <w:r>
              <w:rPr>
                <w:rFonts w:cs="Calibri"/>
                <w:lang w:val="en-ZA"/>
              </w:rPr>
              <w:t>The Star</w:t>
            </w:r>
          </w:p>
        </w:tc>
      </w:tr>
      <w:tr w:rsidR="00D83443" w:rsidRPr="00BC00E7" w:rsidTr="00145247">
        <w:tc>
          <w:tcPr>
            <w:tcW w:w="4273" w:type="dxa"/>
            <w:tcMar>
              <w:top w:w="100" w:type="dxa"/>
              <w:left w:w="100" w:type="dxa"/>
              <w:bottom w:w="100" w:type="dxa"/>
              <w:right w:w="100" w:type="dxa"/>
            </w:tcMar>
          </w:tcPr>
          <w:p w:rsidR="00D83443" w:rsidRPr="00BC00E7" w:rsidRDefault="00D83443" w:rsidP="00145247">
            <w:pPr>
              <w:widowControl w:val="0"/>
              <w:rPr>
                <w:rFonts w:cs="Calibri"/>
                <w:lang w:val="en-ZA"/>
              </w:rPr>
            </w:pPr>
            <w:r w:rsidRPr="00BC00E7">
              <w:rPr>
                <w:rFonts w:cs="Calibri"/>
                <w:lang w:val="en-ZA"/>
              </w:rPr>
              <w:t>Journalist/s</w:t>
            </w:r>
          </w:p>
        </w:tc>
        <w:tc>
          <w:tcPr>
            <w:tcW w:w="5117" w:type="dxa"/>
            <w:tcMar>
              <w:top w:w="100" w:type="dxa"/>
              <w:left w:w="100" w:type="dxa"/>
              <w:bottom w:w="100" w:type="dxa"/>
              <w:right w:w="100" w:type="dxa"/>
            </w:tcMar>
          </w:tcPr>
          <w:p w:rsidR="00D83443" w:rsidRPr="00BC00E7" w:rsidRDefault="00D83443" w:rsidP="00145247">
            <w:pPr>
              <w:widowControl w:val="0"/>
              <w:rPr>
                <w:rFonts w:cs="Calibri"/>
                <w:lang w:val="en-ZA"/>
              </w:rPr>
            </w:pPr>
            <w:r>
              <w:rPr>
                <w:rFonts w:cs="Calibri"/>
                <w:lang w:val="en-ZA"/>
              </w:rPr>
              <w:t>Bongani Nkosi</w:t>
            </w:r>
          </w:p>
        </w:tc>
      </w:tr>
      <w:tr w:rsidR="00D83443" w:rsidRPr="00BC00E7" w:rsidTr="00145247">
        <w:tc>
          <w:tcPr>
            <w:tcW w:w="4273" w:type="dxa"/>
            <w:tcMar>
              <w:top w:w="100" w:type="dxa"/>
              <w:left w:w="100" w:type="dxa"/>
              <w:bottom w:w="100" w:type="dxa"/>
              <w:right w:w="100" w:type="dxa"/>
            </w:tcMar>
          </w:tcPr>
          <w:p w:rsidR="00D83443" w:rsidRPr="00BC00E7" w:rsidRDefault="00D83443" w:rsidP="00145247">
            <w:pPr>
              <w:widowControl w:val="0"/>
              <w:rPr>
                <w:rFonts w:cs="Calibri"/>
                <w:lang w:val="en-ZA"/>
              </w:rPr>
            </w:pPr>
            <w:r w:rsidRPr="00BC00E7">
              <w:rPr>
                <w:rFonts w:cs="Calibri"/>
                <w:lang w:val="en-ZA"/>
              </w:rPr>
              <w:t>Complaint lodged by</w:t>
            </w:r>
          </w:p>
        </w:tc>
        <w:tc>
          <w:tcPr>
            <w:tcW w:w="5117" w:type="dxa"/>
            <w:tcMar>
              <w:top w:w="100" w:type="dxa"/>
              <w:left w:w="100" w:type="dxa"/>
              <w:bottom w:w="100" w:type="dxa"/>
              <w:right w:w="100" w:type="dxa"/>
            </w:tcMar>
          </w:tcPr>
          <w:p w:rsidR="00D83443" w:rsidRPr="00BC00E7" w:rsidRDefault="00D83443" w:rsidP="00145247">
            <w:pPr>
              <w:widowControl w:val="0"/>
              <w:rPr>
                <w:rFonts w:cs="Calibri"/>
                <w:lang w:val="en-ZA"/>
              </w:rPr>
            </w:pPr>
            <w:r>
              <w:rPr>
                <w:rFonts w:cs="Calibri"/>
                <w:lang w:val="en-ZA"/>
              </w:rPr>
              <w:t>Amathole Forestry Company (Pty) Ltd</w:t>
            </w:r>
          </w:p>
        </w:tc>
      </w:tr>
      <w:tr w:rsidR="00D83443" w:rsidRPr="00BC00E7" w:rsidTr="00145247">
        <w:tc>
          <w:tcPr>
            <w:tcW w:w="4273" w:type="dxa"/>
            <w:tcMar>
              <w:top w:w="100" w:type="dxa"/>
              <w:left w:w="100" w:type="dxa"/>
              <w:bottom w:w="100" w:type="dxa"/>
              <w:right w:w="100" w:type="dxa"/>
            </w:tcMar>
          </w:tcPr>
          <w:p w:rsidR="00D83443" w:rsidRPr="00BC00E7" w:rsidRDefault="00D83443" w:rsidP="00145247">
            <w:pPr>
              <w:widowControl w:val="0"/>
              <w:rPr>
                <w:rFonts w:cs="Calibri"/>
                <w:lang w:val="en-ZA"/>
              </w:rPr>
            </w:pPr>
            <w:r w:rsidRPr="00BC00E7">
              <w:rPr>
                <w:rFonts w:cs="Calibri"/>
                <w:lang w:val="en-ZA"/>
              </w:rPr>
              <w:t>Date complaint lodged</w:t>
            </w:r>
          </w:p>
        </w:tc>
        <w:tc>
          <w:tcPr>
            <w:tcW w:w="5117" w:type="dxa"/>
            <w:tcMar>
              <w:top w:w="100" w:type="dxa"/>
              <w:left w:w="100" w:type="dxa"/>
              <w:bottom w:w="100" w:type="dxa"/>
              <w:right w:w="100" w:type="dxa"/>
            </w:tcMar>
          </w:tcPr>
          <w:p w:rsidR="00D83443" w:rsidRPr="00BC00E7" w:rsidRDefault="00D83443" w:rsidP="00145247">
            <w:pPr>
              <w:widowControl w:val="0"/>
              <w:rPr>
                <w:rFonts w:cs="Calibri"/>
                <w:lang w:val="en-ZA"/>
              </w:rPr>
            </w:pPr>
            <w:r>
              <w:rPr>
                <w:rFonts w:cs="Calibri"/>
                <w:lang w:val="en-ZA"/>
              </w:rPr>
              <w:t>20</w:t>
            </w:r>
            <w:r w:rsidRPr="00BC00E7">
              <w:rPr>
                <w:rFonts w:cs="Calibri"/>
                <w:vertAlign w:val="superscript"/>
                <w:lang w:val="en-ZA"/>
              </w:rPr>
              <w:t>th</w:t>
            </w:r>
            <w:r w:rsidRPr="00BC00E7">
              <w:rPr>
                <w:rFonts w:cs="Calibri"/>
                <w:lang w:val="en-ZA"/>
              </w:rPr>
              <w:t xml:space="preserve"> April 2018</w:t>
            </w:r>
          </w:p>
        </w:tc>
      </w:tr>
      <w:tr w:rsidR="00D83443" w:rsidRPr="00BC00E7" w:rsidTr="00145247">
        <w:tc>
          <w:tcPr>
            <w:tcW w:w="4273" w:type="dxa"/>
            <w:tcMar>
              <w:top w:w="100" w:type="dxa"/>
              <w:left w:w="100" w:type="dxa"/>
              <w:bottom w:w="100" w:type="dxa"/>
              <w:right w:w="100" w:type="dxa"/>
            </w:tcMar>
          </w:tcPr>
          <w:p w:rsidR="00D83443" w:rsidRPr="00BC00E7" w:rsidRDefault="00D83443" w:rsidP="00145247">
            <w:pPr>
              <w:widowControl w:val="0"/>
              <w:rPr>
                <w:rFonts w:cs="Calibri"/>
                <w:lang w:val="en-ZA"/>
              </w:rPr>
            </w:pPr>
            <w:r w:rsidRPr="00BC00E7">
              <w:rPr>
                <w:rFonts w:cs="Calibri"/>
                <w:lang w:val="en-ZA"/>
              </w:rPr>
              <w:t>Type of complaint</w:t>
            </w:r>
          </w:p>
        </w:tc>
        <w:tc>
          <w:tcPr>
            <w:tcW w:w="5117" w:type="dxa"/>
            <w:tcMar>
              <w:top w:w="100" w:type="dxa"/>
              <w:left w:w="100" w:type="dxa"/>
              <w:bottom w:w="100" w:type="dxa"/>
              <w:right w:w="100" w:type="dxa"/>
            </w:tcMar>
          </w:tcPr>
          <w:p w:rsidR="00D83443" w:rsidRPr="00BC00E7" w:rsidRDefault="00D83443" w:rsidP="00145247">
            <w:pPr>
              <w:widowControl w:val="0"/>
              <w:rPr>
                <w:rFonts w:cs="Calibri"/>
                <w:lang w:val="en-ZA"/>
              </w:rPr>
            </w:pPr>
            <w:r w:rsidRPr="00BC00E7">
              <w:rPr>
                <w:rFonts w:cs="Calibri"/>
                <w:lang w:val="en-ZA"/>
              </w:rPr>
              <w:t xml:space="preserve">Alleged inaccuracy </w:t>
            </w:r>
            <w:r>
              <w:rPr>
                <w:rFonts w:cs="Calibri"/>
                <w:lang w:val="en-ZA"/>
              </w:rPr>
              <w:t>and misleading</w:t>
            </w:r>
            <w:r w:rsidRPr="00BC00E7">
              <w:rPr>
                <w:rFonts w:cs="Calibri"/>
                <w:lang w:val="en-ZA"/>
              </w:rPr>
              <w:t xml:space="preserve"> reporting. </w:t>
            </w:r>
          </w:p>
        </w:tc>
      </w:tr>
      <w:tr w:rsidR="00D83443" w:rsidRPr="00BC00E7" w:rsidTr="00F62E6E">
        <w:tc>
          <w:tcPr>
            <w:tcW w:w="9390" w:type="dxa"/>
            <w:gridSpan w:val="2"/>
            <w:shd w:val="clear" w:color="auto" w:fill="C31A25"/>
            <w:tcMar>
              <w:top w:w="100" w:type="dxa"/>
              <w:left w:w="100" w:type="dxa"/>
              <w:bottom w:w="100" w:type="dxa"/>
              <w:right w:w="100" w:type="dxa"/>
            </w:tcMar>
          </w:tcPr>
          <w:p w:rsidR="00D83443" w:rsidRPr="00BC00E7" w:rsidRDefault="00D83443" w:rsidP="00145247">
            <w:pPr>
              <w:widowControl w:val="0"/>
              <w:rPr>
                <w:rFonts w:cs="Calibri"/>
                <w:lang w:val="en-ZA"/>
              </w:rPr>
            </w:pPr>
            <w:r w:rsidRPr="00BC00E7">
              <w:rPr>
                <w:rFonts w:cs="Calibri"/>
                <w:b/>
                <w:color w:val="FFFFFF"/>
                <w:sz w:val="28"/>
                <w:szCs w:val="28"/>
                <w:lang w:val="en-ZA"/>
              </w:rPr>
              <w:t xml:space="preserve">Ruling </w:t>
            </w:r>
          </w:p>
        </w:tc>
      </w:tr>
      <w:tr w:rsidR="00D83443" w:rsidRPr="00BC00E7" w:rsidTr="00145247">
        <w:tc>
          <w:tcPr>
            <w:tcW w:w="4273" w:type="dxa"/>
            <w:tcMar>
              <w:top w:w="100" w:type="dxa"/>
              <w:left w:w="100" w:type="dxa"/>
              <w:bottom w:w="100" w:type="dxa"/>
              <w:right w:w="100" w:type="dxa"/>
            </w:tcMar>
          </w:tcPr>
          <w:p w:rsidR="00D83443" w:rsidRPr="00BC00E7" w:rsidRDefault="00D83443" w:rsidP="00145247">
            <w:pPr>
              <w:widowControl w:val="0"/>
              <w:rPr>
                <w:rFonts w:cs="Calibri"/>
                <w:lang w:val="en-ZA"/>
              </w:rPr>
            </w:pPr>
            <w:r w:rsidRPr="00BC00E7">
              <w:rPr>
                <w:rFonts w:cs="Calibri"/>
                <w:lang w:val="en-ZA"/>
              </w:rPr>
              <w:t>Date Ruling delivered</w:t>
            </w:r>
          </w:p>
        </w:tc>
        <w:tc>
          <w:tcPr>
            <w:tcW w:w="5117" w:type="dxa"/>
            <w:tcMar>
              <w:top w:w="100" w:type="dxa"/>
              <w:left w:w="100" w:type="dxa"/>
              <w:bottom w:w="100" w:type="dxa"/>
              <w:right w:w="100" w:type="dxa"/>
            </w:tcMar>
          </w:tcPr>
          <w:p w:rsidR="00D83443" w:rsidRPr="00BC00E7" w:rsidRDefault="00D83443" w:rsidP="00145247">
            <w:pPr>
              <w:widowControl w:val="0"/>
              <w:rPr>
                <w:rFonts w:cs="Calibri"/>
                <w:lang w:val="en-ZA"/>
              </w:rPr>
            </w:pPr>
            <w:r>
              <w:rPr>
                <w:rFonts w:cs="Calibri"/>
                <w:lang w:val="en-ZA"/>
              </w:rPr>
              <w:t>4 June</w:t>
            </w:r>
            <w:r w:rsidRPr="00BC00E7">
              <w:rPr>
                <w:rFonts w:cs="Calibri"/>
                <w:lang w:val="en-ZA"/>
              </w:rPr>
              <w:t xml:space="preserve"> 2018</w:t>
            </w:r>
          </w:p>
        </w:tc>
      </w:tr>
      <w:tr w:rsidR="00D83443" w:rsidRPr="00BC00E7" w:rsidTr="00145247">
        <w:tc>
          <w:tcPr>
            <w:tcW w:w="4273" w:type="dxa"/>
            <w:tcMar>
              <w:top w:w="100" w:type="dxa"/>
              <w:left w:w="100" w:type="dxa"/>
              <w:bottom w:w="100" w:type="dxa"/>
              <w:right w:w="100" w:type="dxa"/>
            </w:tcMar>
          </w:tcPr>
          <w:p w:rsidR="00D83443" w:rsidRPr="00BC00E7" w:rsidRDefault="00D83443" w:rsidP="00145247">
            <w:pPr>
              <w:widowControl w:val="0"/>
              <w:rPr>
                <w:rFonts w:cs="Calibri"/>
                <w:lang w:val="en-ZA"/>
              </w:rPr>
            </w:pPr>
            <w:r w:rsidRPr="00BC00E7">
              <w:rPr>
                <w:rFonts w:cs="Calibri"/>
                <w:lang w:val="en-ZA"/>
              </w:rPr>
              <w:t>Applicable version of the Independent Media Press Code</w:t>
            </w:r>
          </w:p>
        </w:tc>
        <w:tc>
          <w:tcPr>
            <w:tcW w:w="5117" w:type="dxa"/>
            <w:tcMar>
              <w:top w:w="100" w:type="dxa"/>
              <w:left w:w="100" w:type="dxa"/>
              <w:bottom w:w="100" w:type="dxa"/>
              <w:right w:w="100" w:type="dxa"/>
            </w:tcMar>
          </w:tcPr>
          <w:p w:rsidR="00D83443" w:rsidRPr="00BC00E7" w:rsidRDefault="00D83443" w:rsidP="00145247">
            <w:pPr>
              <w:widowControl w:val="0"/>
              <w:rPr>
                <w:rFonts w:cs="Calibri"/>
                <w:lang w:val="en-ZA"/>
              </w:rPr>
            </w:pPr>
            <w:r w:rsidRPr="00BC00E7">
              <w:rPr>
                <w:rFonts w:cs="Calibri"/>
                <w:lang w:val="en-ZA"/>
              </w:rPr>
              <w:t>1.0</w:t>
            </w:r>
          </w:p>
        </w:tc>
      </w:tr>
      <w:tr w:rsidR="00D83443" w:rsidRPr="00BC00E7" w:rsidTr="00145247">
        <w:trPr>
          <w:trHeight w:val="326"/>
        </w:trPr>
        <w:tc>
          <w:tcPr>
            <w:tcW w:w="4273" w:type="dxa"/>
            <w:tcMar>
              <w:top w:w="100" w:type="dxa"/>
              <w:left w:w="100" w:type="dxa"/>
              <w:bottom w:w="100" w:type="dxa"/>
              <w:right w:w="100" w:type="dxa"/>
            </w:tcMar>
          </w:tcPr>
          <w:p w:rsidR="00D83443" w:rsidRPr="00BC00E7" w:rsidRDefault="00D83443" w:rsidP="00145247">
            <w:pPr>
              <w:widowControl w:val="0"/>
              <w:rPr>
                <w:rFonts w:cs="Calibri"/>
                <w:lang w:val="en-ZA"/>
              </w:rPr>
            </w:pPr>
            <w:r w:rsidRPr="00BC00E7">
              <w:rPr>
                <w:rFonts w:cs="Calibri"/>
                <w:lang w:val="en-ZA"/>
              </w:rPr>
              <w:t>Clauses considered by the Ombud Panel</w:t>
            </w:r>
          </w:p>
        </w:tc>
        <w:tc>
          <w:tcPr>
            <w:tcW w:w="5117" w:type="dxa"/>
            <w:tcMar>
              <w:top w:w="100" w:type="dxa"/>
              <w:left w:w="100" w:type="dxa"/>
              <w:bottom w:w="100" w:type="dxa"/>
              <w:right w:w="100" w:type="dxa"/>
            </w:tcMar>
          </w:tcPr>
          <w:p w:rsidR="00D83443" w:rsidRPr="00BC00E7" w:rsidRDefault="00D83443" w:rsidP="00145247">
            <w:pPr>
              <w:widowControl w:val="0"/>
              <w:rPr>
                <w:rFonts w:cs="Calibri"/>
                <w:lang w:val="en-ZA"/>
              </w:rPr>
            </w:pPr>
            <w:r w:rsidRPr="00BC00E7">
              <w:rPr>
                <w:rFonts w:cs="Calibri"/>
                <w:lang w:val="en-ZA"/>
              </w:rPr>
              <w:t>2.1, 2.3</w:t>
            </w:r>
          </w:p>
        </w:tc>
      </w:tr>
      <w:tr w:rsidR="00D83443" w:rsidRPr="00BC00E7" w:rsidTr="00145247">
        <w:tc>
          <w:tcPr>
            <w:tcW w:w="4273" w:type="dxa"/>
            <w:tcMar>
              <w:top w:w="100" w:type="dxa"/>
              <w:left w:w="100" w:type="dxa"/>
              <w:bottom w:w="100" w:type="dxa"/>
              <w:right w:w="100" w:type="dxa"/>
            </w:tcMar>
          </w:tcPr>
          <w:p w:rsidR="00D83443" w:rsidRPr="00BC00E7" w:rsidRDefault="00D83443" w:rsidP="00145247">
            <w:pPr>
              <w:widowControl w:val="0"/>
              <w:rPr>
                <w:rFonts w:cs="Calibri"/>
                <w:lang w:val="en-ZA"/>
              </w:rPr>
            </w:pPr>
            <w:r w:rsidRPr="00BC00E7">
              <w:rPr>
                <w:rFonts w:cs="Calibri"/>
                <w:lang w:val="en-ZA"/>
              </w:rPr>
              <w:t>Related complaints considered</w:t>
            </w:r>
          </w:p>
        </w:tc>
        <w:tc>
          <w:tcPr>
            <w:tcW w:w="5117" w:type="dxa"/>
            <w:tcMar>
              <w:top w:w="100" w:type="dxa"/>
              <w:left w:w="100" w:type="dxa"/>
              <w:bottom w:w="100" w:type="dxa"/>
              <w:right w:w="100" w:type="dxa"/>
            </w:tcMar>
          </w:tcPr>
          <w:p w:rsidR="00D83443" w:rsidRPr="00BC00E7" w:rsidRDefault="00D83443" w:rsidP="00145247">
            <w:pPr>
              <w:widowControl w:val="0"/>
              <w:rPr>
                <w:rFonts w:cs="Calibri"/>
                <w:lang w:val="en-ZA"/>
              </w:rPr>
            </w:pPr>
            <w:r w:rsidRPr="00BC00E7">
              <w:rPr>
                <w:rFonts w:cs="Calibri"/>
                <w:lang w:val="en-ZA"/>
              </w:rPr>
              <w:t>N/A</w:t>
            </w:r>
          </w:p>
        </w:tc>
      </w:tr>
      <w:tr w:rsidR="00D83443" w:rsidRPr="00BC00E7" w:rsidTr="00145247">
        <w:tc>
          <w:tcPr>
            <w:tcW w:w="4273" w:type="dxa"/>
            <w:tcMar>
              <w:top w:w="100" w:type="dxa"/>
              <w:left w:w="100" w:type="dxa"/>
              <w:bottom w:w="100" w:type="dxa"/>
              <w:right w:w="100" w:type="dxa"/>
            </w:tcMar>
          </w:tcPr>
          <w:p w:rsidR="00D83443" w:rsidRPr="00BC00E7" w:rsidRDefault="00D83443" w:rsidP="00145247">
            <w:pPr>
              <w:widowControl w:val="0"/>
              <w:rPr>
                <w:rFonts w:cs="Calibri"/>
                <w:lang w:val="en-ZA"/>
              </w:rPr>
            </w:pPr>
            <w:r w:rsidRPr="00BC00E7">
              <w:rPr>
                <w:rFonts w:cs="Calibri"/>
                <w:lang w:val="en-ZA"/>
              </w:rPr>
              <w:t>Sanction / Remedy</w:t>
            </w:r>
          </w:p>
        </w:tc>
        <w:tc>
          <w:tcPr>
            <w:tcW w:w="5117" w:type="dxa"/>
            <w:tcMar>
              <w:top w:w="100" w:type="dxa"/>
              <w:left w:w="100" w:type="dxa"/>
              <w:bottom w:w="100" w:type="dxa"/>
              <w:right w:w="100" w:type="dxa"/>
            </w:tcMar>
          </w:tcPr>
          <w:p w:rsidR="00D83443" w:rsidRPr="00BC00E7" w:rsidRDefault="00D83443" w:rsidP="00145247">
            <w:pPr>
              <w:rPr>
                <w:rFonts w:cs="Calibri"/>
                <w:lang w:val="en-ZA"/>
              </w:rPr>
            </w:pPr>
            <w:r w:rsidRPr="00BC00E7">
              <w:rPr>
                <w:rFonts w:cs="Calibri"/>
                <w:lang w:val="en-ZA"/>
              </w:rPr>
              <w:t>Apology to be published</w:t>
            </w:r>
          </w:p>
        </w:tc>
      </w:tr>
      <w:tr w:rsidR="00D83443" w:rsidRPr="00BC00E7" w:rsidTr="00145247">
        <w:tc>
          <w:tcPr>
            <w:tcW w:w="4273" w:type="dxa"/>
            <w:tcMar>
              <w:top w:w="100" w:type="dxa"/>
              <w:left w:w="100" w:type="dxa"/>
              <w:bottom w:w="100" w:type="dxa"/>
              <w:right w:w="100" w:type="dxa"/>
            </w:tcMar>
          </w:tcPr>
          <w:p w:rsidR="00D83443" w:rsidRPr="00BC00E7" w:rsidRDefault="00D83443" w:rsidP="00145247">
            <w:pPr>
              <w:widowControl w:val="0"/>
              <w:rPr>
                <w:rFonts w:cs="Calibri"/>
                <w:lang w:val="en-ZA"/>
              </w:rPr>
            </w:pPr>
            <w:r w:rsidRPr="00BC00E7">
              <w:rPr>
                <w:rFonts w:cs="Calibri"/>
                <w:lang w:val="en-ZA"/>
              </w:rPr>
              <w:t>Complaint fee</w:t>
            </w:r>
          </w:p>
        </w:tc>
        <w:tc>
          <w:tcPr>
            <w:tcW w:w="5117" w:type="dxa"/>
            <w:tcMar>
              <w:top w:w="100" w:type="dxa"/>
              <w:left w:w="100" w:type="dxa"/>
              <w:bottom w:w="100" w:type="dxa"/>
              <w:right w:w="100" w:type="dxa"/>
            </w:tcMar>
          </w:tcPr>
          <w:p w:rsidR="00D83443" w:rsidRPr="00BC00E7" w:rsidRDefault="00D83443" w:rsidP="00145247">
            <w:pPr>
              <w:widowControl w:val="0"/>
              <w:rPr>
                <w:rFonts w:cs="Calibri"/>
                <w:lang w:val="en-ZA"/>
              </w:rPr>
            </w:pPr>
            <w:r>
              <w:rPr>
                <w:rFonts w:cs="Calibri"/>
                <w:lang w:val="en-ZA"/>
              </w:rPr>
              <w:t>Yes (refundable)</w:t>
            </w:r>
          </w:p>
        </w:tc>
      </w:tr>
      <w:tr w:rsidR="00D83443" w:rsidRPr="00BC00E7" w:rsidTr="00145247">
        <w:tc>
          <w:tcPr>
            <w:tcW w:w="4273" w:type="dxa"/>
            <w:tcMar>
              <w:top w:w="100" w:type="dxa"/>
              <w:left w:w="100" w:type="dxa"/>
              <w:bottom w:w="100" w:type="dxa"/>
              <w:right w:w="100" w:type="dxa"/>
            </w:tcMar>
          </w:tcPr>
          <w:p w:rsidR="00D83443" w:rsidRPr="00BC00E7" w:rsidRDefault="00D83443" w:rsidP="00145247">
            <w:pPr>
              <w:widowControl w:val="0"/>
              <w:rPr>
                <w:rFonts w:cs="Calibri"/>
                <w:lang w:val="en-ZA"/>
              </w:rPr>
            </w:pPr>
            <w:r w:rsidRPr="00BC00E7">
              <w:rPr>
                <w:rFonts w:cs="Calibri"/>
                <w:lang w:val="en-ZA"/>
              </w:rPr>
              <w:t>Is this report notable?</w:t>
            </w:r>
          </w:p>
        </w:tc>
        <w:tc>
          <w:tcPr>
            <w:tcW w:w="5117" w:type="dxa"/>
            <w:tcMar>
              <w:top w:w="100" w:type="dxa"/>
              <w:left w:w="100" w:type="dxa"/>
              <w:bottom w:w="100" w:type="dxa"/>
              <w:right w:w="100" w:type="dxa"/>
            </w:tcMar>
          </w:tcPr>
          <w:p w:rsidR="00D83443" w:rsidRPr="00BC00E7" w:rsidRDefault="00D83443" w:rsidP="00145247">
            <w:pPr>
              <w:widowControl w:val="0"/>
              <w:rPr>
                <w:rFonts w:cs="Calibri"/>
                <w:lang w:val="en-ZA"/>
              </w:rPr>
            </w:pPr>
            <w:r w:rsidRPr="00BC00E7">
              <w:rPr>
                <w:rFonts w:cs="Calibri"/>
                <w:lang w:val="en-ZA"/>
              </w:rPr>
              <w:t>Yes</w:t>
            </w:r>
          </w:p>
        </w:tc>
      </w:tr>
      <w:tr w:rsidR="00D83443" w:rsidRPr="00BC00E7" w:rsidTr="00145247">
        <w:tc>
          <w:tcPr>
            <w:tcW w:w="4273" w:type="dxa"/>
            <w:tcMar>
              <w:top w:w="100" w:type="dxa"/>
              <w:left w:w="100" w:type="dxa"/>
              <w:bottom w:w="100" w:type="dxa"/>
              <w:right w:w="100" w:type="dxa"/>
            </w:tcMar>
          </w:tcPr>
          <w:p w:rsidR="00D83443" w:rsidRPr="00BC00E7" w:rsidRDefault="00D83443" w:rsidP="00145247">
            <w:pPr>
              <w:widowControl w:val="0"/>
              <w:rPr>
                <w:rFonts w:cs="Calibri"/>
                <w:lang w:val="en-ZA"/>
              </w:rPr>
            </w:pPr>
            <w:r w:rsidRPr="00BC00E7">
              <w:rPr>
                <w:rFonts w:cs="Calibri"/>
                <w:lang w:val="en-ZA"/>
              </w:rPr>
              <w:t>Summary of notability</w:t>
            </w:r>
          </w:p>
        </w:tc>
        <w:tc>
          <w:tcPr>
            <w:tcW w:w="5117" w:type="dxa"/>
            <w:tcMar>
              <w:top w:w="100" w:type="dxa"/>
              <w:left w:w="100" w:type="dxa"/>
              <w:bottom w:w="100" w:type="dxa"/>
              <w:right w:w="100" w:type="dxa"/>
            </w:tcMar>
          </w:tcPr>
          <w:p w:rsidR="00D83443" w:rsidRPr="00BC00E7" w:rsidRDefault="00D83443" w:rsidP="00145247">
            <w:pPr>
              <w:widowControl w:val="0"/>
              <w:rPr>
                <w:rFonts w:cs="Calibri"/>
                <w:lang w:val="en-ZA"/>
              </w:rPr>
            </w:pPr>
            <w:r w:rsidRPr="00BC00E7">
              <w:rPr>
                <w:rFonts w:cs="Calibri"/>
                <w:lang w:val="en-ZA"/>
              </w:rPr>
              <w:t>Non-applicability of other Press Codes</w:t>
            </w:r>
          </w:p>
          <w:p w:rsidR="00D83443" w:rsidRPr="00BC00E7" w:rsidRDefault="00D83443" w:rsidP="00145247">
            <w:pPr>
              <w:widowControl w:val="0"/>
              <w:rPr>
                <w:rFonts w:cs="Calibri"/>
                <w:lang w:val="en-ZA"/>
              </w:rPr>
            </w:pPr>
            <w:r w:rsidRPr="00BC00E7">
              <w:rPr>
                <w:rFonts w:cs="Calibri"/>
                <w:lang w:val="en-ZA"/>
              </w:rPr>
              <w:t xml:space="preserve">Nature of publication to be ignored when considering whether Independent Media Press Code contravened. </w:t>
            </w:r>
          </w:p>
        </w:tc>
      </w:tr>
    </w:tbl>
    <w:p w:rsidR="00D83443" w:rsidRPr="00145247" w:rsidRDefault="00D83443">
      <w:pPr>
        <w:rPr>
          <w:sz w:val="40"/>
          <w:szCs w:val="40"/>
        </w:rPr>
      </w:pPr>
      <w:bookmarkStart w:id="0" w:name="_GoBack"/>
      <w:r w:rsidRPr="00145247">
        <w:rPr>
          <w:sz w:val="40"/>
          <w:szCs w:val="40"/>
        </w:rPr>
        <w:t xml:space="preserve"> (</w:t>
      </w:r>
      <w:r>
        <w:rPr>
          <w:sz w:val="40"/>
          <w:szCs w:val="40"/>
        </w:rPr>
        <w:t>JOHANNESBURG</w:t>
      </w:r>
      <w:r w:rsidRPr="00145247">
        <w:rPr>
          <w:sz w:val="40"/>
          <w:szCs w:val="40"/>
        </w:rPr>
        <w:t>)</w:t>
      </w:r>
    </w:p>
    <w:bookmarkEnd w:id="0"/>
    <w:p w:rsidR="00D83443" w:rsidRDefault="00D83443" w:rsidP="00A6669E">
      <w:pPr>
        <w:pStyle w:val="Heading1"/>
      </w:pPr>
      <w:r>
        <w:t>Complaint</w:t>
      </w:r>
    </w:p>
    <w:p w:rsidR="00D83443" w:rsidRDefault="00D83443" w:rsidP="00A6669E">
      <w:pPr>
        <w:keepNext/>
      </w:pPr>
    </w:p>
    <w:p w:rsidR="00D83443" w:rsidRPr="0042719F" w:rsidRDefault="00D83443" w:rsidP="00F453CF">
      <w:pPr>
        <w:pStyle w:val="NormalWeb"/>
        <w:numPr>
          <w:ilvl w:val="0"/>
          <w:numId w:val="2"/>
        </w:numPr>
        <w:spacing w:before="0" w:beforeAutospacing="0" w:after="0" w:afterAutospacing="0" w:line="360" w:lineRule="auto"/>
        <w:ind w:left="945"/>
        <w:jc w:val="both"/>
        <w:textAlignment w:val="baseline"/>
        <w:rPr>
          <w:rFonts w:ascii="Arial" w:hAnsi="Arial" w:cs="Arial"/>
          <w:color w:val="000000"/>
          <w:shd w:val="clear" w:color="auto" w:fill="FFFFFF"/>
        </w:rPr>
      </w:pPr>
      <w:r w:rsidRPr="0042719F">
        <w:rPr>
          <w:rFonts w:ascii="Arial" w:hAnsi="Arial" w:cs="Arial"/>
          <w:color w:val="000000"/>
        </w:rPr>
        <w:t>On 20 April 2018 Mr Davron Swift, the group services manager at Amathole Forestry Company (AFC), lodged a complaint against The Star in connection with an article - published on Page 2 - on 09 April 2018.</w:t>
      </w:r>
    </w:p>
    <w:p w:rsidR="00D83443" w:rsidRPr="0042719F" w:rsidRDefault="00D83443" w:rsidP="00F453CF">
      <w:pPr>
        <w:pStyle w:val="NormalWeb"/>
        <w:spacing w:before="0" w:beforeAutospacing="0" w:after="0" w:afterAutospacing="0" w:line="360" w:lineRule="auto"/>
        <w:ind w:left="585"/>
        <w:jc w:val="both"/>
        <w:textAlignment w:val="baseline"/>
        <w:rPr>
          <w:rFonts w:ascii="Arial" w:hAnsi="Arial" w:cs="Arial"/>
          <w:color w:val="000000"/>
          <w:shd w:val="clear" w:color="auto" w:fill="FFFFFF"/>
        </w:rPr>
      </w:pPr>
    </w:p>
    <w:p w:rsidR="00D83443" w:rsidRPr="0042719F" w:rsidRDefault="00D83443" w:rsidP="00F453CF">
      <w:pPr>
        <w:pStyle w:val="NormalWeb"/>
        <w:numPr>
          <w:ilvl w:val="0"/>
          <w:numId w:val="2"/>
        </w:numPr>
        <w:spacing w:before="0" w:beforeAutospacing="0" w:after="0" w:afterAutospacing="0" w:line="360" w:lineRule="auto"/>
        <w:ind w:left="945"/>
        <w:jc w:val="both"/>
        <w:textAlignment w:val="baseline"/>
        <w:rPr>
          <w:rFonts w:ascii="Arial" w:hAnsi="Arial" w:cs="Arial"/>
          <w:color w:val="000000"/>
          <w:shd w:val="clear" w:color="auto" w:fill="FFFFFF"/>
        </w:rPr>
      </w:pPr>
      <w:r w:rsidRPr="0042719F">
        <w:rPr>
          <w:rFonts w:ascii="Arial" w:hAnsi="Arial" w:cs="Arial"/>
          <w:color w:val="000000"/>
        </w:rPr>
        <w:t xml:space="preserve">Mr Swift complained that: </w:t>
      </w:r>
    </w:p>
    <w:p w:rsidR="00D83443" w:rsidRPr="0042719F" w:rsidRDefault="00D83443" w:rsidP="00F453CF">
      <w:pPr>
        <w:pStyle w:val="NormalWeb"/>
        <w:spacing w:before="0" w:beforeAutospacing="0" w:after="0" w:afterAutospacing="0" w:line="360" w:lineRule="auto"/>
        <w:ind w:left="585"/>
        <w:jc w:val="both"/>
        <w:textAlignment w:val="baseline"/>
        <w:rPr>
          <w:rFonts w:ascii="Arial" w:hAnsi="Arial" w:cs="Arial"/>
          <w:color w:val="000000"/>
          <w:shd w:val="clear" w:color="auto" w:fill="FFFFFF"/>
        </w:rPr>
      </w:pPr>
      <w:r w:rsidRPr="0042719F">
        <w:rPr>
          <w:rFonts w:ascii="Arial" w:hAnsi="Arial" w:cs="Arial"/>
          <w:color w:val="000000"/>
        </w:rPr>
        <w:t>2.1: The Star refused to engage AFC and provide any further information that led to the serious allegations made by the publication.</w:t>
      </w:r>
    </w:p>
    <w:p w:rsidR="00D83443" w:rsidRPr="0042719F" w:rsidRDefault="00D83443" w:rsidP="00F453CF">
      <w:pPr>
        <w:pStyle w:val="NormalWeb"/>
        <w:spacing w:before="0" w:beforeAutospacing="0" w:after="0" w:afterAutospacing="0" w:line="360" w:lineRule="auto"/>
        <w:ind w:left="585"/>
        <w:jc w:val="both"/>
        <w:textAlignment w:val="baseline"/>
        <w:rPr>
          <w:rFonts w:ascii="Arial" w:hAnsi="Arial" w:cs="Arial"/>
          <w:color w:val="000000"/>
          <w:shd w:val="clear" w:color="auto" w:fill="FFFFFF"/>
        </w:rPr>
      </w:pPr>
      <w:r w:rsidRPr="0042719F">
        <w:rPr>
          <w:rFonts w:ascii="Arial" w:hAnsi="Arial" w:cs="Arial"/>
          <w:color w:val="000000"/>
        </w:rPr>
        <w:t>2.2: AFC was only provided opportunity to respond to limited issues but deprived of a chance to respond to “certain subjects of critical reportage prior to the publication of the article.</w:t>
      </w:r>
    </w:p>
    <w:p w:rsidR="00D83443" w:rsidRPr="0042719F" w:rsidRDefault="00D83443" w:rsidP="00F453CF">
      <w:pPr>
        <w:pStyle w:val="NormalWeb"/>
        <w:spacing w:before="0" w:beforeAutospacing="0" w:after="0" w:afterAutospacing="0" w:line="360" w:lineRule="auto"/>
        <w:ind w:left="585"/>
        <w:jc w:val="both"/>
        <w:textAlignment w:val="baseline"/>
        <w:rPr>
          <w:rFonts w:ascii="Arial" w:hAnsi="Arial" w:cs="Arial"/>
          <w:color w:val="000000"/>
          <w:shd w:val="clear" w:color="auto" w:fill="FFFFFF"/>
        </w:rPr>
      </w:pPr>
      <w:r w:rsidRPr="0042719F">
        <w:rPr>
          <w:rFonts w:ascii="Arial" w:hAnsi="Arial" w:cs="Arial"/>
          <w:color w:val="000000"/>
        </w:rPr>
        <w:t>2.3: Failure as outlined above resulted in inaccurate, misleading and distorted information being published and amounted to unfair reporting.</w:t>
      </w:r>
    </w:p>
    <w:p w:rsidR="00D83443" w:rsidRPr="0042719F" w:rsidRDefault="00D83443" w:rsidP="00F453CF">
      <w:pPr>
        <w:pStyle w:val="NormalWeb"/>
        <w:spacing w:before="0" w:beforeAutospacing="0" w:after="0" w:afterAutospacing="0" w:line="360" w:lineRule="auto"/>
        <w:ind w:left="585"/>
        <w:jc w:val="both"/>
        <w:textAlignment w:val="baseline"/>
        <w:rPr>
          <w:rFonts w:ascii="Arial" w:hAnsi="Arial" w:cs="Arial"/>
          <w:color w:val="000000"/>
          <w:shd w:val="clear" w:color="auto" w:fill="FFFFFF"/>
        </w:rPr>
      </w:pPr>
      <w:r w:rsidRPr="0042719F">
        <w:rPr>
          <w:rFonts w:ascii="Arial" w:hAnsi="Arial" w:cs="Arial"/>
          <w:color w:val="000000"/>
        </w:rPr>
        <w:t>2.4: Sources of information were withheld and or refused by The Star</w:t>
      </w:r>
    </w:p>
    <w:p w:rsidR="00D83443" w:rsidRPr="0042719F" w:rsidRDefault="00D83443" w:rsidP="00F453CF">
      <w:pPr>
        <w:spacing w:line="360" w:lineRule="auto"/>
        <w:jc w:val="both"/>
        <w:rPr>
          <w:rFonts w:ascii="Arial" w:hAnsi="Arial" w:cs="Arial"/>
          <w:color w:val="222222"/>
          <w:shd w:val="clear" w:color="auto" w:fill="FFFFFF"/>
        </w:rPr>
      </w:pPr>
    </w:p>
    <w:p w:rsidR="00D83443" w:rsidRDefault="00D83443" w:rsidP="00F453CF">
      <w:pPr>
        <w:pStyle w:val="NormalWeb"/>
        <w:spacing w:before="0" w:beforeAutospacing="0" w:after="0" w:afterAutospacing="0" w:line="360" w:lineRule="auto"/>
        <w:jc w:val="both"/>
        <w:rPr>
          <w:rFonts w:ascii="Arial" w:hAnsi="Arial" w:cs="Arial"/>
          <w:color w:val="000000"/>
        </w:rPr>
      </w:pPr>
      <w:r w:rsidRPr="0042719F">
        <w:rPr>
          <w:rFonts w:ascii="Arial" w:hAnsi="Arial" w:cs="Arial"/>
          <w:color w:val="000000"/>
        </w:rPr>
        <w:t>The complaint was, as required by Independent Media’s Complaints Procedure, referred to the national executive editor for mediation. The matter was not resolved at this stage and referred for adjudication. The complainant fulfilled the requirements of the Complaints Procedure as reflected in submitted Forms A and paid the deposit</w:t>
      </w:r>
      <w:r>
        <w:rPr>
          <w:rFonts w:ascii="Arial" w:hAnsi="Arial" w:cs="Arial"/>
          <w:color w:val="000000"/>
        </w:rPr>
        <w:t>.</w:t>
      </w:r>
    </w:p>
    <w:p w:rsidR="00D83443" w:rsidRPr="0042719F" w:rsidRDefault="00D83443" w:rsidP="00F453CF">
      <w:pPr>
        <w:pStyle w:val="NormalWeb"/>
        <w:spacing w:before="0" w:beforeAutospacing="0" w:after="0" w:afterAutospacing="0" w:line="360" w:lineRule="auto"/>
        <w:jc w:val="both"/>
        <w:rPr>
          <w:rFonts w:ascii="Arial" w:hAnsi="Arial" w:cs="Arial"/>
          <w:color w:val="222222"/>
          <w:shd w:val="clear" w:color="auto" w:fill="FFFFFF"/>
        </w:rPr>
      </w:pPr>
    </w:p>
    <w:p w:rsidR="00D83443" w:rsidRPr="0042719F" w:rsidRDefault="00D83443" w:rsidP="00F453CF">
      <w:pPr>
        <w:pStyle w:val="NormalWeb"/>
        <w:spacing w:before="0" w:beforeAutospacing="0" w:after="0" w:afterAutospacing="0" w:line="360" w:lineRule="auto"/>
        <w:jc w:val="both"/>
        <w:rPr>
          <w:rFonts w:ascii="Arial" w:hAnsi="Arial" w:cs="Arial"/>
          <w:color w:val="222222"/>
          <w:shd w:val="clear" w:color="auto" w:fill="FFFFFF"/>
        </w:rPr>
      </w:pPr>
      <w:r w:rsidRPr="0042719F">
        <w:rPr>
          <w:rFonts w:ascii="Arial" w:hAnsi="Arial" w:cs="Arial"/>
          <w:color w:val="000000"/>
        </w:rPr>
        <w:t>The panel analyzed the detail of the complaint, the response from The Star (reporter and Editor) as well as a copy of the reply tabled by the Minister of Agriculture and Forestry, Senzeni Zokwana, in  Parliament.</w:t>
      </w:r>
    </w:p>
    <w:p w:rsidR="00D83443" w:rsidRPr="0042719F" w:rsidRDefault="00D83443" w:rsidP="00F453CF">
      <w:pPr>
        <w:spacing w:line="360" w:lineRule="auto"/>
        <w:jc w:val="both"/>
        <w:rPr>
          <w:rFonts w:ascii="Arial" w:hAnsi="Arial" w:cs="Arial"/>
          <w:color w:val="222222"/>
          <w:shd w:val="clear" w:color="auto" w:fill="FFFFFF"/>
        </w:rPr>
      </w:pPr>
    </w:p>
    <w:p w:rsidR="00D83443" w:rsidRPr="0042719F" w:rsidRDefault="00D83443" w:rsidP="00F453CF">
      <w:pPr>
        <w:pStyle w:val="NormalWeb"/>
        <w:spacing w:before="0" w:beforeAutospacing="0" w:after="0" w:afterAutospacing="0" w:line="360" w:lineRule="auto"/>
        <w:jc w:val="both"/>
        <w:rPr>
          <w:rFonts w:ascii="Arial" w:hAnsi="Arial" w:cs="Arial"/>
          <w:color w:val="222222"/>
          <w:shd w:val="clear" w:color="auto" w:fill="FFFFFF"/>
        </w:rPr>
      </w:pPr>
      <w:r w:rsidRPr="0042719F">
        <w:rPr>
          <w:rFonts w:ascii="Arial" w:hAnsi="Arial" w:cs="Arial"/>
          <w:color w:val="000000"/>
        </w:rPr>
        <w:t>2.1 - The Star was in communication with AFC regarding the allegations of destruction and the company’s views were extensively used in the article. This complaint has no basis is dismissed.</w:t>
      </w:r>
    </w:p>
    <w:p w:rsidR="00D83443" w:rsidRPr="0042719F" w:rsidRDefault="00D83443" w:rsidP="00F453CF">
      <w:pPr>
        <w:spacing w:line="360" w:lineRule="auto"/>
        <w:jc w:val="both"/>
        <w:rPr>
          <w:rFonts w:ascii="Arial" w:hAnsi="Arial" w:cs="Arial"/>
          <w:color w:val="222222"/>
          <w:shd w:val="clear" w:color="auto" w:fill="FFFFFF"/>
        </w:rPr>
      </w:pPr>
    </w:p>
    <w:p w:rsidR="00D83443" w:rsidRDefault="00D83443" w:rsidP="00F453CF">
      <w:pPr>
        <w:pStyle w:val="NormalWeb"/>
        <w:spacing w:before="0" w:beforeAutospacing="0" w:after="0" w:afterAutospacing="0" w:line="360" w:lineRule="auto"/>
        <w:jc w:val="both"/>
        <w:rPr>
          <w:rFonts w:ascii="Arial" w:hAnsi="Arial" w:cs="Arial"/>
          <w:color w:val="000000"/>
        </w:rPr>
      </w:pPr>
      <w:r w:rsidRPr="0042719F">
        <w:rPr>
          <w:rFonts w:ascii="Arial" w:hAnsi="Arial" w:cs="Arial"/>
          <w:color w:val="000000"/>
        </w:rPr>
        <w:t xml:space="preserve">2.2 - The panel was satisfied that The Star article accurately reflected the Minister’s reply in Parliament. The panel also noted that there has been no complaint from the office of the minister regarding the article. </w:t>
      </w:r>
    </w:p>
    <w:p w:rsidR="00D83443" w:rsidRPr="0042719F" w:rsidRDefault="00D83443" w:rsidP="00F453CF">
      <w:pPr>
        <w:pStyle w:val="NormalWeb"/>
        <w:spacing w:before="0" w:beforeAutospacing="0" w:after="0" w:afterAutospacing="0" w:line="360" w:lineRule="auto"/>
        <w:jc w:val="both"/>
        <w:rPr>
          <w:rFonts w:ascii="Arial" w:hAnsi="Arial" w:cs="Arial"/>
          <w:color w:val="222222"/>
          <w:shd w:val="clear" w:color="auto" w:fill="FFFFFF"/>
        </w:rPr>
      </w:pPr>
    </w:p>
    <w:p w:rsidR="00D83443" w:rsidRDefault="00D83443" w:rsidP="00F453CF">
      <w:pPr>
        <w:pStyle w:val="NormalWeb"/>
        <w:spacing w:before="0" w:beforeAutospacing="0" w:after="0" w:afterAutospacing="0" w:line="360" w:lineRule="auto"/>
        <w:jc w:val="both"/>
        <w:rPr>
          <w:rFonts w:ascii="Arial" w:hAnsi="Arial" w:cs="Arial"/>
          <w:color w:val="000000"/>
        </w:rPr>
      </w:pPr>
      <w:r w:rsidRPr="0042719F">
        <w:rPr>
          <w:rFonts w:ascii="Arial" w:hAnsi="Arial" w:cs="Arial"/>
          <w:color w:val="000000"/>
        </w:rPr>
        <w:t>In its final analysis the panel concluded that the heart of the complaint is the headline “State moves to end timber theft from protected forests”.</w:t>
      </w:r>
    </w:p>
    <w:p w:rsidR="00D83443" w:rsidRPr="0042719F" w:rsidRDefault="00D83443" w:rsidP="00F453CF">
      <w:pPr>
        <w:pStyle w:val="NormalWeb"/>
        <w:spacing w:before="0" w:beforeAutospacing="0" w:after="0" w:afterAutospacing="0" w:line="360" w:lineRule="auto"/>
        <w:jc w:val="both"/>
        <w:rPr>
          <w:rFonts w:ascii="Arial" w:hAnsi="Arial" w:cs="Arial"/>
          <w:color w:val="222222"/>
          <w:shd w:val="clear" w:color="auto" w:fill="FFFFFF"/>
        </w:rPr>
      </w:pPr>
    </w:p>
    <w:p w:rsidR="00D83443" w:rsidRDefault="00D83443" w:rsidP="00F453CF">
      <w:pPr>
        <w:pStyle w:val="NormalWeb"/>
        <w:spacing w:before="0" w:beforeAutospacing="0" w:after="0" w:afterAutospacing="0" w:line="360" w:lineRule="auto"/>
        <w:jc w:val="both"/>
        <w:rPr>
          <w:rFonts w:ascii="Arial" w:hAnsi="Arial" w:cs="Arial"/>
          <w:color w:val="000000"/>
        </w:rPr>
      </w:pPr>
      <w:r w:rsidRPr="0042719F">
        <w:rPr>
          <w:rFonts w:ascii="Arial" w:hAnsi="Arial" w:cs="Arial"/>
          <w:color w:val="000000"/>
        </w:rPr>
        <w:t>The headline does not reflect the reply from the minister. It reflects the sentiments of Nazier Paulsen, a member of parliament representing the Economic Freedom Fighters. Mr Paulsen told The Star that private timber companies were now systematically stealing from the country’s protected forests. He said the AFC matter was the  tip of the iceberg.</w:t>
      </w:r>
    </w:p>
    <w:p w:rsidR="00D83443" w:rsidRPr="0042719F" w:rsidRDefault="00D83443" w:rsidP="00F453CF">
      <w:pPr>
        <w:pStyle w:val="NormalWeb"/>
        <w:spacing w:before="0" w:beforeAutospacing="0" w:after="0" w:afterAutospacing="0" w:line="360" w:lineRule="auto"/>
        <w:jc w:val="both"/>
        <w:rPr>
          <w:rFonts w:ascii="Arial" w:hAnsi="Arial" w:cs="Arial"/>
          <w:color w:val="222222"/>
          <w:shd w:val="clear" w:color="auto" w:fill="FFFFFF"/>
        </w:rPr>
      </w:pPr>
    </w:p>
    <w:p w:rsidR="00D83443" w:rsidRPr="0042719F" w:rsidRDefault="00D83443" w:rsidP="00F453CF">
      <w:pPr>
        <w:pStyle w:val="NormalWeb"/>
        <w:spacing w:before="0" w:beforeAutospacing="0" w:after="0" w:afterAutospacing="0" w:line="360" w:lineRule="auto"/>
        <w:jc w:val="both"/>
        <w:rPr>
          <w:rFonts w:ascii="Arial" w:hAnsi="Arial" w:cs="Arial"/>
          <w:color w:val="222222"/>
          <w:shd w:val="clear" w:color="auto" w:fill="FFFFFF"/>
        </w:rPr>
      </w:pPr>
      <w:r w:rsidRPr="0042719F">
        <w:rPr>
          <w:rFonts w:ascii="Arial" w:hAnsi="Arial" w:cs="Arial"/>
          <w:color w:val="000000"/>
        </w:rPr>
        <w:t>It’s the pane’s view that AFC main complaint is that, to the extend that EFF MP was allowed to make the allegations of theft against the company, that it should have been given an opportunity to respond to this specific allegation.</w:t>
      </w:r>
    </w:p>
    <w:p w:rsidR="00D83443" w:rsidRDefault="00D83443" w:rsidP="00F453CF">
      <w:pPr>
        <w:pStyle w:val="NormalWeb"/>
        <w:spacing w:before="0" w:beforeAutospacing="0" w:after="0" w:afterAutospacing="0" w:line="360" w:lineRule="auto"/>
        <w:jc w:val="both"/>
        <w:rPr>
          <w:rFonts w:ascii="Arial" w:hAnsi="Arial" w:cs="Arial"/>
          <w:color w:val="000000"/>
        </w:rPr>
      </w:pPr>
      <w:r w:rsidRPr="0042719F">
        <w:rPr>
          <w:rFonts w:ascii="Arial" w:hAnsi="Arial" w:cs="Arial"/>
          <w:color w:val="000000"/>
        </w:rPr>
        <w:t>The panel finds that while The Star fulfilled its duty to seek comment from AFC to the minister’s parliamentary reply, the publication failed in its duty to give AFC to respond specifically to the allegations of theft.</w:t>
      </w:r>
    </w:p>
    <w:p w:rsidR="00D83443" w:rsidRPr="0042719F" w:rsidRDefault="00D83443" w:rsidP="00F453CF">
      <w:pPr>
        <w:pStyle w:val="NormalWeb"/>
        <w:spacing w:before="0" w:beforeAutospacing="0" w:after="0" w:afterAutospacing="0" w:line="360" w:lineRule="auto"/>
        <w:jc w:val="both"/>
        <w:rPr>
          <w:rFonts w:ascii="Arial" w:hAnsi="Arial" w:cs="Arial"/>
          <w:color w:val="222222"/>
          <w:shd w:val="clear" w:color="auto" w:fill="FFFFFF"/>
        </w:rPr>
      </w:pPr>
    </w:p>
    <w:p w:rsidR="00D83443" w:rsidRDefault="00D83443" w:rsidP="00F453CF">
      <w:pPr>
        <w:pStyle w:val="NormalWeb"/>
        <w:spacing w:before="0" w:beforeAutospacing="0" w:after="0" w:afterAutospacing="0" w:line="360" w:lineRule="auto"/>
        <w:jc w:val="both"/>
        <w:rPr>
          <w:rFonts w:ascii="Arial" w:hAnsi="Arial" w:cs="Arial"/>
          <w:color w:val="000000"/>
        </w:rPr>
      </w:pPr>
      <w:r w:rsidRPr="0042719F">
        <w:rPr>
          <w:rFonts w:ascii="Arial" w:hAnsi="Arial" w:cs="Arial"/>
          <w:color w:val="000000"/>
        </w:rPr>
        <w:t xml:space="preserve">Additionally, it is the panel’s view that the headline did not reflect the story. The minister’s reply is crystal clear that the state will take action to stop the destruction of indigenous forests. There is no mention of the word “theft” in the minister’s reply. </w:t>
      </w:r>
    </w:p>
    <w:p w:rsidR="00D83443" w:rsidRPr="0042719F" w:rsidRDefault="00D83443" w:rsidP="00F453CF">
      <w:pPr>
        <w:pStyle w:val="NormalWeb"/>
        <w:spacing w:before="0" w:beforeAutospacing="0" w:after="0" w:afterAutospacing="0" w:line="360" w:lineRule="auto"/>
        <w:jc w:val="both"/>
        <w:rPr>
          <w:rFonts w:ascii="Arial" w:hAnsi="Arial" w:cs="Arial"/>
          <w:color w:val="222222"/>
          <w:shd w:val="clear" w:color="auto" w:fill="FFFFFF"/>
        </w:rPr>
      </w:pPr>
    </w:p>
    <w:p w:rsidR="00D83443" w:rsidRPr="0042719F" w:rsidRDefault="00D83443" w:rsidP="00F453CF">
      <w:pPr>
        <w:pStyle w:val="NormalWeb"/>
        <w:spacing w:before="0" w:beforeAutospacing="0" w:after="0" w:afterAutospacing="0" w:line="360" w:lineRule="auto"/>
        <w:jc w:val="both"/>
        <w:rPr>
          <w:rFonts w:ascii="Arial" w:hAnsi="Arial" w:cs="Arial"/>
          <w:color w:val="222222"/>
          <w:shd w:val="clear" w:color="auto" w:fill="FFFFFF"/>
        </w:rPr>
      </w:pPr>
      <w:r w:rsidRPr="0042719F">
        <w:rPr>
          <w:rFonts w:ascii="Arial" w:hAnsi="Arial" w:cs="Arial"/>
          <w:color w:val="000000"/>
        </w:rPr>
        <w:t xml:space="preserve">It is the duty of the Editor, as reflected in the Independent Media Press Code, to ensure that all stories and headlines published are accurate. </w:t>
      </w:r>
    </w:p>
    <w:p w:rsidR="00D83443" w:rsidRDefault="00D83443" w:rsidP="00F453CF">
      <w:pPr>
        <w:pStyle w:val="NormalWeb"/>
        <w:spacing w:before="0" w:beforeAutospacing="0" w:after="0" w:afterAutospacing="0" w:line="360" w:lineRule="auto"/>
        <w:jc w:val="both"/>
        <w:rPr>
          <w:rFonts w:ascii="Arial" w:hAnsi="Arial" w:cs="Arial"/>
          <w:color w:val="000000"/>
        </w:rPr>
      </w:pPr>
      <w:r w:rsidRPr="0042719F">
        <w:rPr>
          <w:rFonts w:ascii="Arial" w:hAnsi="Arial" w:cs="Arial"/>
          <w:color w:val="000000"/>
        </w:rPr>
        <w:t xml:space="preserve">The Star is thus found guilty of publishing a misleading headline is ordered to publish a correction. </w:t>
      </w:r>
    </w:p>
    <w:p w:rsidR="00D83443" w:rsidRPr="0042719F" w:rsidRDefault="00D83443" w:rsidP="00F453CF">
      <w:pPr>
        <w:pStyle w:val="NormalWeb"/>
        <w:spacing w:before="0" w:beforeAutospacing="0" w:after="0" w:afterAutospacing="0" w:line="360" w:lineRule="auto"/>
        <w:jc w:val="both"/>
        <w:rPr>
          <w:rFonts w:ascii="Arial" w:hAnsi="Arial" w:cs="Arial"/>
          <w:color w:val="222222"/>
          <w:shd w:val="clear" w:color="auto" w:fill="FFFFFF"/>
        </w:rPr>
      </w:pPr>
    </w:p>
    <w:p w:rsidR="00D83443" w:rsidRDefault="00D83443" w:rsidP="00F453CF">
      <w:pPr>
        <w:pStyle w:val="NormalWeb"/>
        <w:spacing w:before="0" w:beforeAutospacing="0" w:after="0" w:afterAutospacing="0" w:line="360" w:lineRule="auto"/>
        <w:jc w:val="both"/>
        <w:rPr>
          <w:rFonts w:ascii="Arial" w:hAnsi="Arial" w:cs="Arial"/>
          <w:color w:val="000000"/>
        </w:rPr>
      </w:pPr>
      <w:r w:rsidRPr="0042719F">
        <w:rPr>
          <w:rFonts w:ascii="Arial" w:hAnsi="Arial" w:cs="Arial"/>
          <w:color w:val="000000"/>
        </w:rPr>
        <w:t>Additionally, The Star, in wrong headline, associated AFC with theft of from protected forests. Accordingly, The Star should have, as required by Clause 3 of the Independent Media’s Press Code, given AFC an opportunity to respond to the specific allegation of theft.  </w:t>
      </w:r>
    </w:p>
    <w:p w:rsidR="00D83443" w:rsidRPr="0042719F" w:rsidRDefault="00D83443" w:rsidP="00F453CF">
      <w:pPr>
        <w:pStyle w:val="NormalWeb"/>
        <w:spacing w:before="0" w:beforeAutospacing="0" w:after="0" w:afterAutospacing="0" w:line="360" w:lineRule="auto"/>
        <w:jc w:val="both"/>
        <w:rPr>
          <w:rFonts w:ascii="Arial" w:hAnsi="Arial" w:cs="Arial"/>
          <w:color w:val="222222"/>
          <w:shd w:val="clear" w:color="auto" w:fill="FFFFFF"/>
        </w:rPr>
      </w:pPr>
    </w:p>
    <w:p w:rsidR="00D83443" w:rsidRDefault="00D83443" w:rsidP="00F453CF">
      <w:pPr>
        <w:pStyle w:val="NormalWeb"/>
        <w:spacing w:before="0" w:beforeAutospacing="0" w:after="0" w:afterAutospacing="0" w:line="360" w:lineRule="auto"/>
        <w:jc w:val="both"/>
        <w:rPr>
          <w:rFonts w:ascii="Arial" w:hAnsi="Arial" w:cs="Arial"/>
          <w:color w:val="000000"/>
        </w:rPr>
      </w:pPr>
      <w:r w:rsidRPr="0042719F">
        <w:rPr>
          <w:rFonts w:ascii="Arial" w:hAnsi="Arial" w:cs="Arial"/>
          <w:color w:val="000000"/>
        </w:rPr>
        <w:t>The Star is therefore found in contravention of Clause 3 of the Code and is thus ordered to publish an apology for associating AFC with theft and not giving the company a right of reply.</w:t>
      </w:r>
    </w:p>
    <w:p w:rsidR="00D83443" w:rsidRPr="0042719F" w:rsidRDefault="00D83443" w:rsidP="00F453CF">
      <w:pPr>
        <w:pStyle w:val="NormalWeb"/>
        <w:spacing w:before="0" w:beforeAutospacing="0" w:after="0" w:afterAutospacing="0" w:line="360" w:lineRule="auto"/>
        <w:jc w:val="both"/>
        <w:rPr>
          <w:rFonts w:ascii="Arial" w:hAnsi="Arial" w:cs="Arial"/>
          <w:color w:val="222222"/>
          <w:shd w:val="clear" w:color="auto" w:fill="FFFFFF"/>
        </w:rPr>
      </w:pPr>
    </w:p>
    <w:p w:rsidR="00D83443" w:rsidRDefault="00D83443" w:rsidP="00F453CF">
      <w:pPr>
        <w:pStyle w:val="NormalWeb"/>
        <w:spacing w:before="0" w:beforeAutospacing="0" w:after="0" w:afterAutospacing="0" w:line="360" w:lineRule="auto"/>
        <w:jc w:val="both"/>
        <w:rPr>
          <w:rFonts w:ascii="Arial" w:hAnsi="Arial" w:cs="Arial"/>
          <w:color w:val="000000"/>
        </w:rPr>
      </w:pPr>
      <w:r w:rsidRPr="0042719F">
        <w:rPr>
          <w:rFonts w:ascii="Arial" w:hAnsi="Arial" w:cs="Arial"/>
          <w:color w:val="000000"/>
        </w:rPr>
        <w:t>The panel also found that the Editor of The Star could have been more courteous rather than telling AFC to “go ahead and do whatever pleases you”.</w:t>
      </w:r>
    </w:p>
    <w:p w:rsidR="00D83443" w:rsidRPr="0042719F" w:rsidRDefault="00D83443" w:rsidP="00F453CF">
      <w:pPr>
        <w:pStyle w:val="NormalWeb"/>
        <w:spacing w:before="0" w:beforeAutospacing="0" w:after="0" w:afterAutospacing="0" w:line="360" w:lineRule="auto"/>
        <w:jc w:val="both"/>
        <w:rPr>
          <w:rFonts w:ascii="Arial" w:hAnsi="Arial" w:cs="Arial"/>
          <w:color w:val="222222"/>
          <w:shd w:val="clear" w:color="auto" w:fill="FFFFFF"/>
        </w:rPr>
      </w:pPr>
    </w:p>
    <w:p w:rsidR="00D83443" w:rsidRDefault="00D83443" w:rsidP="00F453CF">
      <w:pPr>
        <w:pStyle w:val="NormalWeb"/>
        <w:spacing w:before="0" w:beforeAutospacing="0" w:after="0" w:afterAutospacing="0" w:line="360" w:lineRule="auto"/>
        <w:jc w:val="both"/>
        <w:rPr>
          <w:rFonts w:ascii="Arial" w:hAnsi="Arial" w:cs="Arial"/>
          <w:color w:val="000000"/>
        </w:rPr>
      </w:pPr>
      <w:r w:rsidRPr="0042719F">
        <w:rPr>
          <w:rFonts w:ascii="Arial" w:hAnsi="Arial" w:cs="Arial"/>
          <w:color w:val="000000"/>
        </w:rPr>
        <w:t>2.3 - Given the above, The Star is in violation of the Clause 2.1 of the Code and is ordered to apologize</w:t>
      </w:r>
    </w:p>
    <w:p w:rsidR="00D83443" w:rsidRPr="0042719F" w:rsidRDefault="00D83443" w:rsidP="00F453CF">
      <w:pPr>
        <w:pStyle w:val="NormalWeb"/>
        <w:spacing w:before="0" w:beforeAutospacing="0" w:after="0" w:afterAutospacing="0" w:line="360" w:lineRule="auto"/>
        <w:jc w:val="both"/>
        <w:rPr>
          <w:rFonts w:ascii="Arial" w:hAnsi="Arial" w:cs="Arial"/>
          <w:color w:val="222222"/>
          <w:shd w:val="clear" w:color="auto" w:fill="FFFFFF"/>
        </w:rPr>
      </w:pPr>
    </w:p>
    <w:p w:rsidR="00D83443" w:rsidRDefault="00D83443" w:rsidP="00F453CF">
      <w:pPr>
        <w:pStyle w:val="NormalWeb"/>
        <w:spacing w:before="0" w:beforeAutospacing="0" w:after="0" w:afterAutospacing="0" w:line="360" w:lineRule="auto"/>
        <w:jc w:val="both"/>
        <w:rPr>
          <w:rFonts w:ascii="Arial" w:hAnsi="Arial" w:cs="Arial"/>
          <w:color w:val="000000"/>
        </w:rPr>
      </w:pPr>
      <w:r w:rsidRPr="0042719F">
        <w:rPr>
          <w:rFonts w:ascii="Arial" w:hAnsi="Arial" w:cs="Arial"/>
          <w:color w:val="000000"/>
        </w:rPr>
        <w:t>2.4 - The Star does not have to provide its sources to AFC. In any case, the source of the contentious allegation of theft was revealed in the article. This complaint therefore has no merit and is dismissed.</w:t>
      </w:r>
    </w:p>
    <w:p w:rsidR="00D83443" w:rsidRPr="0042719F" w:rsidRDefault="00D83443" w:rsidP="00F453CF">
      <w:pPr>
        <w:pStyle w:val="NormalWeb"/>
        <w:spacing w:before="0" w:beforeAutospacing="0" w:after="0" w:afterAutospacing="0" w:line="360" w:lineRule="auto"/>
        <w:jc w:val="both"/>
        <w:rPr>
          <w:rFonts w:ascii="Arial" w:hAnsi="Arial" w:cs="Arial"/>
          <w:color w:val="222222"/>
          <w:shd w:val="clear" w:color="auto" w:fill="FFFFFF"/>
        </w:rPr>
      </w:pPr>
    </w:p>
    <w:p w:rsidR="00D83443" w:rsidRPr="0042719F" w:rsidRDefault="00D83443" w:rsidP="00F453CF">
      <w:pPr>
        <w:pStyle w:val="NormalWeb"/>
        <w:spacing w:before="0" w:beforeAutospacing="0" w:after="0" w:afterAutospacing="0" w:line="360" w:lineRule="auto"/>
        <w:jc w:val="both"/>
        <w:rPr>
          <w:rFonts w:ascii="Arial" w:hAnsi="Arial" w:cs="Arial"/>
          <w:color w:val="222222"/>
          <w:shd w:val="clear" w:color="auto" w:fill="FFFFFF"/>
        </w:rPr>
      </w:pPr>
      <w:r w:rsidRPr="0042719F">
        <w:rPr>
          <w:rFonts w:ascii="Arial" w:hAnsi="Arial" w:cs="Arial"/>
          <w:color w:val="000000"/>
        </w:rPr>
        <w:t>The Star is ordered to publish the following apology on Page 2 within seven days of this decision:</w:t>
      </w:r>
    </w:p>
    <w:p w:rsidR="00D83443" w:rsidRPr="0042719F" w:rsidRDefault="00D83443" w:rsidP="00F453CF">
      <w:pPr>
        <w:pStyle w:val="NormalWeb"/>
        <w:spacing w:before="0" w:beforeAutospacing="0" w:after="0" w:afterAutospacing="0" w:line="360" w:lineRule="auto"/>
        <w:jc w:val="both"/>
        <w:rPr>
          <w:rFonts w:ascii="Arial" w:hAnsi="Arial" w:cs="Arial"/>
          <w:color w:val="222222"/>
          <w:shd w:val="clear" w:color="auto" w:fill="FFFFFF"/>
        </w:rPr>
      </w:pPr>
      <w:r w:rsidRPr="0042719F">
        <w:rPr>
          <w:rFonts w:ascii="Arial" w:hAnsi="Arial" w:cs="Arial"/>
          <w:color w:val="000000"/>
        </w:rPr>
        <w:t>“On April 20, 2018, The Star published an article headlined “State moves to end timber thefts from protected forests”. Following a complaint by the Amathole Forestry Company, the Office of the Group Ombudsman has ordered The Star to apologize for publishing an inaccurate and misleading headline. The Ombudsman also found that The Star, in its headline, associated AFC with theft from the forests. This is not borne out by the article. AFC responded to allegations of damage to the protected forests that were put to it by The Star. The company’s response was adequately reflected in the article. The headline was based on comments by an member of parliament and had nothing to do with AFC.</w:t>
      </w:r>
    </w:p>
    <w:p w:rsidR="00D83443" w:rsidRPr="0042719F" w:rsidRDefault="00D83443" w:rsidP="00F453CF">
      <w:pPr>
        <w:pStyle w:val="NormalWeb"/>
        <w:spacing w:before="0" w:beforeAutospacing="0" w:after="0" w:afterAutospacing="0" w:line="360" w:lineRule="auto"/>
        <w:jc w:val="both"/>
        <w:rPr>
          <w:rFonts w:ascii="Arial" w:hAnsi="Arial" w:cs="Arial"/>
          <w:color w:val="222222"/>
          <w:shd w:val="clear" w:color="auto" w:fill="FFFFFF"/>
        </w:rPr>
      </w:pPr>
      <w:r w:rsidRPr="0042719F">
        <w:rPr>
          <w:rFonts w:ascii="Arial" w:hAnsi="Arial" w:cs="Arial"/>
          <w:color w:val="000000"/>
        </w:rPr>
        <w:t>The Star apologizes to AFC for publishing a misleading headline.”</w:t>
      </w:r>
    </w:p>
    <w:p w:rsidR="00D83443" w:rsidRPr="0042719F" w:rsidRDefault="00D83443" w:rsidP="00F453CF">
      <w:pPr>
        <w:spacing w:line="360" w:lineRule="auto"/>
        <w:jc w:val="both"/>
        <w:rPr>
          <w:rFonts w:ascii="Arial" w:hAnsi="Arial" w:cs="Arial"/>
          <w:color w:val="222222"/>
          <w:shd w:val="clear" w:color="auto" w:fill="FFFFFF"/>
        </w:rPr>
      </w:pPr>
    </w:p>
    <w:p w:rsidR="00D83443" w:rsidRPr="0042719F" w:rsidRDefault="00D83443" w:rsidP="00F453CF">
      <w:pPr>
        <w:pStyle w:val="NormalWeb"/>
        <w:shd w:val="clear" w:color="auto" w:fill="FFFFFF"/>
        <w:spacing w:before="0" w:beforeAutospacing="0" w:after="0" w:afterAutospacing="0" w:line="360" w:lineRule="auto"/>
        <w:jc w:val="both"/>
        <w:rPr>
          <w:rFonts w:ascii="Arial" w:hAnsi="Arial" w:cs="Arial"/>
          <w:color w:val="222222"/>
          <w:shd w:val="clear" w:color="auto" w:fill="FFFFFF"/>
        </w:rPr>
      </w:pPr>
      <w:r w:rsidRPr="0042719F">
        <w:rPr>
          <w:rFonts w:ascii="Arial" w:hAnsi="Arial" w:cs="Arial"/>
          <w:color w:val="222222"/>
        </w:rPr>
        <w:t>According to the Independent Media Press Code, parties unhappy with the findings have seven days to lodge an appeal with the Chai</w:t>
      </w:r>
      <w:r>
        <w:rPr>
          <w:rFonts w:ascii="Arial" w:hAnsi="Arial" w:cs="Arial"/>
          <w:color w:val="222222"/>
        </w:rPr>
        <w:t>r of Appeal Panel, Judge Zak Yac</w:t>
      </w:r>
      <w:r w:rsidRPr="0042719F">
        <w:rPr>
          <w:rFonts w:ascii="Arial" w:hAnsi="Arial" w:cs="Arial"/>
          <w:color w:val="222222"/>
        </w:rPr>
        <w:t>oob within seven days.</w:t>
      </w:r>
    </w:p>
    <w:p w:rsidR="00D83443" w:rsidRPr="0042719F" w:rsidRDefault="00D83443" w:rsidP="00F453CF">
      <w:pPr>
        <w:spacing w:line="360" w:lineRule="auto"/>
        <w:jc w:val="both"/>
        <w:rPr>
          <w:rFonts w:ascii="Arial" w:hAnsi="Arial" w:cs="Arial"/>
          <w:lang w:val="en-US"/>
        </w:rPr>
      </w:pPr>
    </w:p>
    <w:p w:rsidR="00D83443" w:rsidRDefault="00D83443" w:rsidP="00F453CF">
      <w:pPr>
        <w:pStyle w:val="Heading2"/>
      </w:pPr>
    </w:p>
    <w:sectPr w:rsidR="00D83443" w:rsidSect="00A6669E">
      <w:headerReference w:type="default" r:id="rId7"/>
      <w:footerReference w:type="default" r:id="rId8"/>
      <w:headerReference w:type="first" r:id="rId9"/>
      <w:footerReference w:type="first" r:id="rId10"/>
      <w:pgSz w:w="11900" w:h="16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443" w:rsidRDefault="00D83443" w:rsidP="00A6669E">
      <w:r>
        <w:separator/>
      </w:r>
    </w:p>
  </w:endnote>
  <w:endnote w:type="continuationSeparator" w:id="0">
    <w:p w:rsidR="00D83443" w:rsidRDefault="00D83443" w:rsidP="00A66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43" w:rsidRPr="00A6669E" w:rsidRDefault="00D83443" w:rsidP="00A6669E">
    <w:pPr>
      <w:pStyle w:val="Footer"/>
      <w:jc w:val="right"/>
      <w:rPr>
        <w:rFonts w:cs="Calibri"/>
        <w:color w:val="000000"/>
      </w:rPr>
    </w:pPr>
    <w:r w:rsidRPr="00A6669E">
      <w:rPr>
        <w:rFonts w:cs="Calibri"/>
        <w:color w:val="000000"/>
      </w:rPr>
      <w:t xml:space="preserve">Page </w:t>
    </w:r>
    <w:r w:rsidRPr="00A6669E">
      <w:rPr>
        <w:rFonts w:cs="Calibri"/>
        <w:color w:val="000000"/>
      </w:rPr>
      <w:fldChar w:fldCharType="begin"/>
    </w:r>
    <w:r w:rsidRPr="00A6669E">
      <w:rPr>
        <w:rFonts w:cs="Calibri"/>
        <w:color w:val="000000"/>
      </w:rPr>
      <w:instrText xml:space="preserve"> PAGE </w:instrText>
    </w:r>
    <w:r w:rsidRPr="00A6669E">
      <w:rPr>
        <w:rFonts w:cs="Calibri"/>
        <w:color w:val="000000"/>
      </w:rPr>
      <w:fldChar w:fldCharType="separate"/>
    </w:r>
    <w:r>
      <w:rPr>
        <w:rFonts w:cs="Calibri"/>
        <w:noProof/>
        <w:color w:val="000000"/>
      </w:rPr>
      <w:t>2</w:t>
    </w:r>
    <w:r w:rsidRPr="00A6669E">
      <w:rPr>
        <w:rFonts w:cs="Calibri"/>
        <w:color w:val="000000"/>
      </w:rPr>
      <w:fldChar w:fldCharType="end"/>
    </w:r>
    <w:r w:rsidRPr="00A6669E">
      <w:rPr>
        <w:rFonts w:cs="Calibri"/>
        <w:color w:val="000000"/>
      </w:rPr>
      <w:t xml:space="preserve"> of </w:t>
    </w:r>
    <w:r w:rsidRPr="00A6669E">
      <w:rPr>
        <w:rFonts w:cs="Calibri"/>
        <w:color w:val="000000"/>
      </w:rPr>
      <w:fldChar w:fldCharType="begin"/>
    </w:r>
    <w:r w:rsidRPr="00A6669E">
      <w:rPr>
        <w:rFonts w:cs="Calibri"/>
        <w:color w:val="000000"/>
      </w:rPr>
      <w:instrText xml:space="preserve"> NUMPAGES </w:instrText>
    </w:r>
    <w:r w:rsidRPr="00A6669E">
      <w:rPr>
        <w:rFonts w:cs="Calibri"/>
        <w:color w:val="000000"/>
      </w:rPr>
      <w:fldChar w:fldCharType="separate"/>
    </w:r>
    <w:r>
      <w:rPr>
        <w:rFonts w:cs="Calibri"/>
        <w:noProof/>
        <w:color w:val="000000"/>
      </w:rPr>
      <w:t>4</w:t>
    </w:r>
    <w:r w:rsidRPr="00A6669E">
      <w:rPr>
        <w:rFonts w:cs="Calibri"/>
        <w:color w:val="000000"/>
      </w:rPr>
      <w:fldChar w:fldCharType="end"/>
    </w:r>
  </w:p>
  <w:p w:rsidR="00D83443" w:rsidRDefault="00D834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43" w:rsidRPr="00A6669E" w:rsidRDefault="00D83443" w:rsidP="00A6669E">
    <w:pPr>
      <w:pStyle w:val="Footer"/>
      <w:jc w:val="right"/>
      <w:rPr>
        <w:rFonts w:cs="Calibri"/>
        <w:color w:val="000000"/>
      </w:rPr>
    </w:pPr>
    <w:r w:rsidRPr="00A6669E">
      <w:rPr>
        <w:rFonts w:cs="Calibri"/>
        <w:color w:val="000000"/>
      </w:rPr>
      <w:t xml:space="preserve">Page </w:t>
    </w:r>
    <w:r w:rsidRPr="00A6669E">
      <w:rPr>
        <w:rFonts w:cs="Calibri"/>
        <w:color w:val="000000"/>
      </w:rPr>
      <w:fldChar w:fldCharType="begin"/>
    </w:r>
    <w:r w:rsidRPr="00A6669E">
      <w:rPr>
        <w:rFonts w:cs="Calibri"/>
        <w:color w:val="000000"/>
      </w:rPr>
      <w:instrText xml:space="preserve"> PAGE </w:instrText>
    </w:r>
    <w:r w:rsidRPr="00A6669E">
      <w:rPr>
        <w:rFonts w:cs="Calibri"/>
        <w:color w:val="000000"/>
      </w:rPr>
      <w:fldChar w:fldCharType="separate"/>
    </w:r>
    <w:r>
      <w:rPr>
        <w:rFonts w:cs="Calibri"/>
        <w:noProof/>
        <w:color w:val="000000"/>
      </w:rPr>
      <w:t>1</w:t>
    </w:r>
    <w:r w:rsidRPr="00A6669E">
      <w:rPr>
        <w:rFonts w:cs="Calibri"/>
        <w:color w:val="000000"/>
      </w:rPr>
      <w:fldChar w:fldCharType="end"/>
    </w:r>
    <w:r w:rsidRPr="00A6669E">
      <w:rPr>
        <w:rFonts w:cs="Calibri"/>
        <w:color w:val="000000"/>
      </w:rPr>
      <w:t xml:space="preserve"> of </w:t>
    </w:r>
    <w:r w:rsidRPr="00A6669E">
      <w:rPr>
        <w:rFonts w:cs="Calibri"/>
        <w:color w:val="000000"/>
      </w:rPr>
      <w:fldChar w:fldCharType="begin"/>
    </w:r>
    <w:r w:rsidRPr="00A6669E">
      <w:rPr>
        <w:rFonts w:cs="Calibri"/>
        <w:color w:val="000000"/>
      </w:rPr>
      <w:instrText xml:space="preserve"> NUMPAGES </w:instrText>
    </w:r>
    <w:r w:rsidRPr="00A6669E">
      <w:rPr>
        <w:rFonts w:cs="Calibri"/>
        <w:color w:val="000000"/>
      </w:rPr>
      <w:fldChar w:fldCharType="separate"/>
    </w:r>
    <w:r>
      <w:rPr>
        <w:rFonts w:cs="Calibri"/>
        <w:noProof/>
        <w:color w:val="000000"/>
      </w:rPr>
      <w:t>4</w:t>
    </w:r>
    <w:r w:rsidRPr="00A6669E">
      <w:rPr>
        <w:rFonts w:cs="Calibri"/>
        <w:color w:val="000000"/>
      </w:rPr>
      <w:fldChar w:fldCharType="end"/>
    </w:r>
  </w:p>
  <w:p w:rsidR="00D83443" w:rsidRPr="0025561B" w:rsidRDefault="00D83443" w:rsidP="00145247">
    <w:pPr>
      <w:pStyle w:val="Footer"/>
      <w:jc w:val="center"/>
      <w:rPr>
        <w:rFonts w:ascii="Century Gothic" w:hAnsi="Century Gothic"/>
        <w:sz w:val="17"/>
        <w:szCs w:val="17"/>
      </w:rPr>
    </w:pPr>
    <w:r w:rsidRPr="0025561B">
      <w:rPr>
        <w:rFonts w:ascii="Century Gothic" w:hAnsi="Century Gothic"/>
        <w:b/>
        <w:sz w:val="17"/>
        <w:szCs w:val="17"/>
      </w:rPr>
      <w:t>Physical address:</w:t>
    </w:r>
    <w:r w:rsidRPr="0025561B">
      <w:rPr>
        <w:rFonts w:ascii="Century Gothic" w:hAnsi="Century Gothic"/>
        <w:sz w:val="17"/>
        <w:szCs w:val="17"/>
      </w:rPr>
      <w:t xml:space="preserve"> 47 Pixley Seme Street (Sauer Street), Johannesburg, 2001</w:t>
    </w:r>
  </w:p>
  <w:p w:rsidR="00D83443" w:rsidRPr="0025561B" w:rsidRDefault="00D83443" w:rsidP="00145247">
    <w:pPr>
      <w:pStyle w:val="Footer"/>
      <w:jc w:val="center"/>
      <w:rPr>
        <w:rFonts w:ascii="Century Gothic" w:hAnsi="Century Gothic"/>
        <w:sz w:val="17"/>
        <w:szCs w:val="17"/>
      </w:rPr>
    </w:pPr>
    <w:r w:rsidRPr="0025561B">
      <w:rPr>
        <w:rFonts w:ascii="Century Gothic" w:hAnsi="Century Gothic"/>
        <w:b/>
        <w:sz w:val="17"/>
        <w:szCs w:val="17"/>
      </w:rPr>
      <w:t>Postal address:</w:t>
    </w:r>
    <w:r w:rsidRPr="0025561B">
      <w:rPr>
        <w:rFonts w:ascii="Century Gothic" w:hAnsi="Century Gothic"/>
        <w:sz w:val="17"/>
        <w:szCs w:val="17"/>
      </w:rPr>
      <w:t xml:space="preserve">  PO Box 1014, Johannesburg, 2000</w:t>
    </w:r>
  </w:p>
  <w:p w:rsidR="00D83443" w:rsidRPr="00145247" w:rsidRDefault="00D83443" w:rsidP="00145247">
    <w:pPr>
      <w:pStyle w:val="Footer"/>
      <w:jc w:val="center"/>
      <w:rPr>
        <w:rFonts w:ascii="Century Gothic" w:hAnsi="Century Gothic"/>
        <w:sz w:val="17"/>
        <w:szCs w:val="17"/>
      </w:rPr>
    </w:pPr>
    <w:r w:rsidRPr="0025561B">
      <w:rPr>
        <w:rFonts w:ascii="Century Gothic" w:hAnsi="Century Gothic"/>
        <w:b/>
        <w:sz w:val="17"/>
        <w:szCs w:val="17"/>
      </w:rPr>
      <w:t>Landline</w:t>
    </w:r>
    <w:r w:rsidRPr="0025561B">
      <w:rPr>
        <w:rFonts w:ascii="Century Gothic" w:hAnsi="Century Gothic"/>
        <w:sz w:val="17"/>
        <w:szCs w:val="17"/>
      </w:rPr>
      <w:t xml:space="preserve">: 011 633 0000 </w:t>
    </w:r>
    <w:r w:rsidRPr="0025561B">
      <w:rPr>
        <w:rFonts w:ascii="Century Gothic" w:hAnsi="Century Gothic"/>
        <w:b/>
        <w:sz w:val="17"/>
        <w:szCs w:val="17"/>
      </w:rPr>
      <w:t>E-mail:</w:t>
    </w:r>
    <w:r w:rsidRPr="0025561B">
      <w:rPr>
        <w:rFonts w:ascii="Century Gothic" w:hAnsi="Century Gothic"/>
        <w:sz w:val="17"/>
        <w:szCs w:val="17"/>
      </w:rPr>
      <w:t xml:space="preserve"> </w:t>
    </w:r>
    <w:hyperlink r:id="rId1" w:history="1">
      <w:r w:rsidRPr="0025561B">
        <w:rPr>
          <w:rStyle w:val="Hyperlink"/>
          <w:rFonts w:ascii="Century Gothic" w:hAnsi="Century Gothic"/>
          <w:sz w:val="17"/>
          <w:szCs w:val="17"/>
        </w:rPr>
        <w:t>jovial.rantao@inl.co.za</w:t>
      </w:r>
    </w:hyperlink>
    <w:r w:rsidRPr="0025561B">
      <w:rPr>
        <w:rFonts w:ascii="Century Gothic" w:hAnsi="Century Gothic"/>
        <w:sz w:val="17"/>
        <w:szCs w:val="17"/>
      </w:rPr>
      <w:t xml:space="preserve"> www.inlombud.co.za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443" w:rsidRDefault="00D83443" w:rsidP="00A6669E">
      <w:r>
        <w:separator/>
      </w:r>
    </w:p>
  </w:footnote>
  <w:footnote w:type="continuationSeparator" w:id="0">
    <w:p w:rsidR="00D83443" w:rsidRDefault="00D83443" w:rsidP="00A666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43" w:rsidRDefault="00D83443" w:rsidP="00A6669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43" w:rsidRPr="00145247" w:rsidRDefault="00D83443" w:rsidP="00145247">
    <w:pPr>
      <w:pStyle w:val="Header"/>
    </w:pPr>
    <w:r w:rsidRPr="00BC00E7">
      <w:rPr>
        <w:noProof/>
        <w:shd w:val="clear" w:color="auto" w:fill="C31A25"/>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ombud header" style="width:446.25pt;height:54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42CC"/>
    <w:multiLevelType w:val="multilevel"/>
    <w:tmpl w:val="AF68DA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61E3C50"/>
    <w:multiLevelType w:val="multilevel"/>
    <w:tmpl w:val="69BA6F08"/>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69E"/>
    <w:rsid w:val="00044AC3"/>
    <w:rsid w:val="00145247"/>
    <w:rsid w:val="002554A3"/>
    <w:rsid w:val="0025561B"/>
    <w:rsid w:val="00374F5B"/>
    <w:rsid w:val="0041190E"/>
    <w:rsid w:val="0042719F"/>
    <w:rsid w:val="00521DD4"/>
    <w:rsid w:val="005C2EF8"/>
    <w:rsid w:val="00743F4F"/>
    <w:rsid w:val="0081523F"/>
    <w:rsid w:val="00875666"/>
    <w:rsid w:val="008B5911"/>
    <w:rsid w:val="0092618F"/>
    <w:rsid w:val="00952C7B"/>
    <w:rsid w:val="009F1E79"/>
    <w:rsid w:val="00A6669E"/>
    <w:rsid w:val="00BC00E7"/>
    <w:rsid w:val="00C75079"/>
    <w:rsid w:val="00D83443"/>
    <w:rsid w:val="00DD0D88"/>
    <w:rsid w:val="00F453CF"/>
    <w:rsid w:val="00F62E6E"/>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23F"/>
    <w:rPr>
      <w:sz w:val="24"/>
      <w:szCs w:val="24"/>
      <w:lang w:val="en-GB" w:eastAsia="en-US"/>
    </w:rPr>
  </w:style>
  <w:style w:type="paragraph" w:styleId="Heading1">
    <w:name w:val="heading 1"/>
    <w:basedOn w:val="Normal"/>
    <w:next w:val="Normal"/>
    <w:link w:val="Heading1Char"/>
    <w:uiPriority w:val="99"/>
    <w:qFormat/>
    <w:rsid w:val="00A6669E"/>
    <w:pPr>
      <w:keepNext/>
      <w:keepLines/>
      <w:numPr>
        <w:numId w:val="1"/>
      </w:numPr>
      <w:spacing w:before="240"/>
      <w:outlineLvl w:val="0"/>
    </w:pPr>
    <w:rPr>
      <w:rFonts w:ascii="Calibri Light" w:eastAsia="Times New Roman" w:hAnsi="Calibri Light"/>
      <w:color w:val="000000"/>
      <w:sz w:val="28"/>
      <w:szCs w:val="32"/>
    </w:rPr>
  </w:style>
  <w:style w:type="paragraph" w:styleId="Heading2">
    <w:name w:val="heading 2"/>
    <w:basedOn w:val="Normal"/>
    <w:next w:val="Normal"/>
    <w:link w:val="Heading2Char"/>
    <w:uiPriority w:val="99"/>
    <w:qFormat/>
    <w:rsid w:val="00A6669E"/>
    <w:pPr>
      <w:keepNext/>
      <w:keepLines/>
      <w:numPr>
        <w:ilvl w:val="1"/>
        <w:numId w:val="1"/>
      </w:numPr>
      <w:spacing w:before="40"/>
      <w:outlineLvl w:val="1"/>
    </w:pPr>
    <w:rPr>
      <w:rFonts w:ascii="Calibri Light" w:eastAsia="Times New Roman" w:hAnsi="Calibri Light"/>
      <w:color w:val="000000"/>
      <w:sz w:val="22"/>
      <w:szCs w:val="26"/>
    </w:rPr>
  </w:style>
  <w:style w:type="paragraph" w:styleId="Heading3">
    <w:name w:val="heading 3"/>
    <w:basedOn w:val="Normal"/>
    <w:next w:val="Normal"/>
    <w:link w:val="Heading3Char"/>
    <w:uiPriority w:val="99"/>
    <w:qFormat/>
    <w:rsid w:val="009F1E79"/>
    <w:pPr>
      <w:keepNext/>
      <w:keepLines/>
      <w:numPr>
        <w:ilvl w:val="2"/>
        <w:numId w:val="1"/>
      </w:numPr>
      <w:spacing w:before="40"/>
      <w:outlineLvl w:val="2"/>
    </w:pPr>
    <w:rPr>
      <w:rFonts w:ascii="Calibri Light" w:eastAsia="Times New Roman" w:hAnsi="Calibri Light"/>
      <w:color w:val="000000"/>
      <w:sz w:val="22"/>
    </w:rPr>
  </w:style>
  <w:style w:type="paragraph" w:styleId="Heading4">
    <w:name w:val="heading 4"/>
    <w:basedOn w:val="Normal"/>
    <w:next w:val="Normal"/>
    <w:link w:val="Heading4Char"/>
    <w:uiPriority w:val="99"/>
    <w:qFormat/>
    <w:rsid w:val="00A6669E"/>
    <w:pPr>
      <w:keepNext/>
      <w:keepLines/>
      <w:numPr>
        <w:ilvl w:val="3"/>
        <w:numId w:val="1"/>
      </w:numPr>
      <w:spacing w:before="40"/>
      <w:outlineLvl w:val="3"/>
    </w:pPr>
    <w:rPr>
      <w:rFonts w:ascii="Calibri Light" w:eastAsia="Times New Roman" w:hAnsi="Calibri Light"/>
      <w:i/>
      <w:iCs/>
      <w:color w:val="2F5496"/>
    </w:rPr>
  </w:style>
  <w:style w:type="paragraph" w:styleId="Heading5">
    <w:name w:val="heading 5"/>
    <w:basedOn w:val="Normal"/>
    <w:next w:val="Normal"/>
    <w:link w:val="Heading5Char"/>
    <w:uiPriority w:val="99"/>
    <w:qFormat/>
    <w:rsid w:val="00A6669E"/>
    <w:pPr>
      <w:keepNext/>
      <w:keepLines/>
      <w:numPr>
        <w:ilvl w:val="4"/>
        <w:numId w:val="1"/>
      </w:numPr>
      <w:spacing w:before="40"/>
      <w:outlineLvl w:val="4"/>
    </w:pPr>
    <w:rPr>
      <w:rFonts w:ascii="Calibri Light" w:eastAsia="Times New Roman" w:hAnsi="Calibri Light"/>
      <w:color w:val="2F5496"/>
    </w:rPr>
  </w:style>
  <w:style w:type="paragraph" w:styleId="Heading6">
    <w:name w:val="heading 6"/>
    <w:basedOn w:val="Normal"/>
    <w:next w:val="Normal"/>
    <w:link w:val="Heading6Char"/>
    <w:uiPriority w:val="99"/>
    <w:qFormat/>
    <w:rsid w:val="00A6669E"/>
    <w:pPr>
      <w:keepNext/>
      <w:keepLines/>
      <w:numPr>
        <w:ilvl w:val="5"/>
        <w:numId w:val="1"/>
      </w:numPr>
      <w:spacing w:before="40"/>
      <w:outlineLvl w:val="5"/>
    </w:pPr>
    <w:rPr>
      <w:rFonts w:ascii="Calibri Light" w:eastAsia="Times New Roman" w:hAnsi="Calibri Light"/>
      <w:color w:val="1F3763"/>
    </w:rPr>
  </w:style>
  <w:style w:type="paragraph" w:styleId="Heading7">
    <w:name w:val="heading 7"/>
    <w:basedOn w:val="Normal"/>
    <w:next w:val="Normal"/>
    <w:link w:val="Heading7Char"/>
    <w:uiPriority w:val="99"/>
    <w:qFormat/>
    <w:rsid w:val="00A6669E"/>
    <w:pPr>
      <w:keepNext/>
      <w:keepLines/>
      <w:numPr>
        <w:ilvl w:val="6"/>
        <w:numId w:val="1"/>
      </w:numPr>
      <w:spacing w:before="40"/>
      <w:outlineLvl w:val="6"/>
    </w:pPr>
    <w:rPr>
      <w:rFonts w:ascii="Calibri Light" w:eastAsia="Times New Roman" w:hAnsi="Calibri Light"/>
      <w:i/>
      <w:iCs/>
      <w:color w:val="1F3763"/>
    </w:rPr>
  </w:style>
  <w:style w:type="paragraph" w:styleId="Heading8">
    <w:name w:val="heading 8"/>
    <w:basedOn w:val="Normal"/>
    <w:next w:val="Normal"/>
    <w:link w:val="Heading8Char"/>
    <w:uiPriority w:val="99"/>
    <w:qFormat/>
    <w:rsid w:val="00A6669E"/>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9"/>
    <w:qFormat/>
    <w:rsid w:val="00A6669E"/>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69E"/>
    <w:rPr>
      <w:rFonts w:ascii="Calibri Light" w:hAnsi="Calibri Light" w:cs="Times New Roman"/>
      <w:color w:val="000000"/>
      <w:sz w:val="32"/>
      <w:szCs w:val="32"/>
    </w:rPr>
  </w:style>
  <w:style w:type="character" w:customStyle="1" w:styleId="Heading2Char">
    <w:name w:val="Heading 2 Char"/>
    <w:basedOn w:val="DefaultParagraphFont"/>
    <w:link w:val="Heading2"/>
    <w:uiPriority w:val="99"/>
    <w:locked/>
    <w:rsid w:val="00A6669E"/>
    <w:rPr>
      <w:rFonts w:ascii="Calibri Light" w:hAnsi="Calibri Light" w:cs="Times New Roman"/>
      <w:color w:val="000000"/>
      <w:sz w:val="26"/>
      <w:szCs w:val="26"/>
    </w:rPr>
  </w:style>
  <w:style w:type="character" w:customStyle="1" w:styleId="Heading3Char">
    <w:name w:val="Heading 3 Char"/>
    <w:basedOn w:val="DefaultParagraphFont"/>
    <w:link w:val="Heading3"/>
    <w:uiPriority w:val="99"/>
    <w:locked/>
    <w:rsid w:val="009F1E79"/>
    <w:rPr>
      <w:rFonts w:ascii="Calibri Light" w:hAnsi="Calibri Light" w:cs="Times New Roman"/>
      <w:color w:val="000000"/>
      <w:sz w:val="22"/>
    </w:rPr>
  </w:style>
  <w:style w:type="character" w:customStyle="1" w:styleId="Heading4Char">
    <w:name w:val="Heading 4 Char"/>
    <w:basedOn w:val="DefaultParagraphFont"/>
    <w:link w:val="Heading4"/>
    <w:uiPriority w:val="99"/>
    <w:semiHidden/>
    <w:locked/>
    <w:rsid w:val="00A6669E"/>
    <w:rPr>
      <w:rFonts w:ascii="Calibri Light" w:hAnsi="Calibri Light" w:cs="Times New Roman"/>
      <w:i/>
      <w:iCs/>
      <w:color w:val="2F5496"/>
    </w:rPr>
  </w:style>
  <w:style w:type="character" w:customStyle="1" w:styleId="Heading5Char">
    <w:name w:val="Heading 5 Char"/>
    <w:basedOn w:val="DefaultParagraphFont"/>
    <w:link w:val="Heading5"/>
    <w:uiPriority w:val="99"/>
    <w:semiHidden/>
    <w:locked/>
    <w:rsid w:val="00A6669E"/>
    <w:rPr>
      <w:rFonts w:ascii="Calibri Light" w:hAnsi="Calibri Light" w:cs="Times New Roman"/>
      <w:color w:val="2F5496"/>
    </w:rPr>
  </w:style>
  <w:style w:type="character" w:customStyle="1" w:styleId="Heading6Char">
    <w:name w:val="Heading 6 Char"/>
    <w:basedOn w:val="DefaultParagraphFont"/>
    <w:link w:val="Heading6"/>
    <w:uiPriority w:val="99"/>
    <w:semiHidden/>
    <w:locked/>
    <w:rsid w:val="00A6669E"/>
    <w:rPr>
      <w:rFonts w:ascii="Calibri Light" w:hAnsi="Calibri Light" w:cs="Times New Roman"/>
      <w:color w:val="1F3763"/>
    </w:rPr>
  </w:style>
  <w:style w:type="character" w:customStyle="1" w:styleId="Heading7Char">
    <w:name w:val="Heading 7 Char"/>
    <w:basedOn w:val="DefaultParagraphFont"/>
    <w:link w:val="Heading7"/>
    <w:uiPriority w:val="99"/>
    <w:semiHidden/>
    <w:locked/>
    <w:rsid w:val="00A6669E"/>
    <w:rPr>
      <w:rFonts w:ascii="Calibri Light" w:hAnsi="Calibri Light" w:cs="Times New Roman"/>
      <w:i/>
      <w:iCs/>
      <w:color w:val="1F3763"/>
    </w:rPr>
  </w:style>
  <w:style w:type="character" w:customStyle="1" w:styleId="Heading8Char">
    <w:name w:val="Heading 8 Char"/>
    <w:basedOn w:val="DefaultParagraphFont"/>
    <w:link w:val="Heading8"/>
    <w:uiPriority w:val="99"/>
    <w:semiHidden/>
    <w:locked/>
    <w:rsid w:val="00A6669E"/>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semiHidden/>
    <w:locked/>
    <w:rsid w:val="00A6669E"/>
    <w:rPr>
      <w:rFonts w:ascii="Calibri Light" w:hAnsi="Calibri Light" w:cs="Times New Roman"/>
      <w:i/>
      <w:iCs/>
      <w:color w:val="272727"/>
      <w:sz w:val="21"/>
      <w:szCs w:val="21"/>
    </w:rPr>
  </w:style>
  <w:style w:type="paragraph" w:styleId="Header">
    <w:name w:val="header"/>
    <w:basedOn w:val="Normal"/>
    <w:link w:val="HeaderChar"/>
    <w:uiPriority w:val="99"/>
    <w:rsid w:val="00A6669E"/>
    <w:pPr>
      <w:tabs>
        <w:tab w:val="center" w:pos="4513"/>
        <w:tab w:val="right" w:pos="9026"/>
      </w:tabs>
    </w:pPr>
  </w:style>
  <w:style w:type="character" w:customStyle="1" w:styleId="HeaderChar">
    <w:name w:val="Header Char"/>
    <w:basedOn w:val="DefaultParagraphFont"/>
    <w:link w:val="Header"/>
    <w:uiPriority w:val="99"/>
    <w:locked/>
    <w:rsid w:val="00A6669E"/>
    <w:rPr>
      <w:rFonts w:cs="Times New Roman"/>
    </w:rPr>
  </w:style>
  <w:style w:type="paragraph" w:styleId="Footer">
    <w:name w:val="footer"/>
    <w:basedOn w:val="Normal"/>
    <w:link w:val="FooterChar"/>
    <w:uiPriority w:val="99"/>
    <w:rsid w:val="00A6669E"/>
    <w:pPr>
      <w:tabs>
        <w:tab w:val="center" w:pos="4513"/>
        <w:tab w:val="right" w:pos="9026"/>
      </w:tabs>
    </w:pPr>
  </w:style>
  <w:style w:type="character" w:customStyle="1" w:styleId="FooterChar">
    <w:name w:val="Footer Char"/>
    <w:basedOn w:val="DefaultParagraphFont"/>
    <w:link w:val="Footer"/>
    <w:uiPriority w:val="99"/>
    <w:locked/>
    <w:rsid w:val="00A6669E"/>
    <w:rPr>
      <w:rFonts w:cs="Times New Roman"/>
    </w:rPr>
  </w:style>
  <w:style w:type="character" w:styleId="Hyperlink">
    <w:name w:val="Hyperlink"/>
    <w:basedOn w:val="DefaultParagraphFont"/>
    <w:uiPriority w:val="99"/>
    <w:rsid w:val="00145247"/>
    <w:rPr>
      <w:rFonts w:cs="Times New Roman"/>
      <w:color w:val="0000FF"/>
      <w:u w:val="single"/>
    </w:rPr>
  </w:style>
  <w:style w:type="paragraph" w:styleId="NormalWeb">
    <w:name w:val="Normal (Web)"/>
    <w:basedOn w:val="Normal"/>
    <w:uiPriority w:val="99"/>
    <w:rsid w:val="00F453CF"/>
    <w:pPr>
      <w:spacing w:before="100" w:beforeAutospacing="1" w:after="100" w:afterAutospacing="1"/>
    </w:pPr>
    <w:rPr>
      <w:rFonts w:ascii="Times New Roman" w:hAnsi="Times New Roman"/>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jovial.rantao@inl.co.z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Pages>
  <Words>889</Words>
  <Characters>5070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OF THE INDEPENDENT MEDIA OFFICE OF THE OMBUD </dc:title>
  <dc:subject/>
  <dc:creator>Paul Esselaar</dc:creator>
  <cp:keywords/>
  <dc:description/>
  <cp:lastModifiedBy>moleboheng.mosia</cp:lastModifiedBy>
  <cp:revision>4</cp:revision>
  <dcterms:created xsi:type="dcterms:W3CDTF">2018-06-06T11:53:00Z</dcterms:created>
  <dcterms:modified xsi:type="dcterms:W3CDTF">2018-06-06T11:59:00Z</dcterms:modified>
</cp:coreProperties>
</file>